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8B2" w:rsidRDefault="00E85DFD" w:rsidP="00E85DFD">
      <w:pPr>
        <w:jc w:val="center"/>
      </w:pPr>
      <w:r>
        <w:rPr>
          <w:noProof/>
        </w:rPr>
        <w:drawing>
          <wp:inline distT="0" distB="0" distL="0" distR="0" wp14:anchorId="7302C9F3" wp14:editId="256EE754">
            <wp:extent cx="5407573" cy="3137338"/>
            <wp:effectExtent l="0" t="0" r="3175" b="6350"/>
            <wp:docPr id="1" name="グラフ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E85DFD" w:rsidRDefault="00E85DFD" w:rsidP="00E85DFD">
      <w:pPr>
        <w:jc w:val="center"/>
      </w:pPr>
      <w:bookmarkStart w:id="0" w:name="_GoBack"/>
      <w:r>
        <w:rPr>
          <w:noProof/>
        </w:rPr>
        <w:drawing>
          <wp:inline distT="0" distB="0" distL="0" distR="0" wp14:anchorId="0F49CB28" wp14:editId="2B661C1F">
            <wp:extent cx="5408578" cy="3054485"/>
            <wp:effectExtent l="0" t="0" r="1905" b="0"/>
            <wp:docPr id="2" name="グラフ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  <w:bookmarkEnd w:id="0"/>
    </w:p>
    <w:p w:rsidR="00E85DFD" w:rsidRDefault="00E85DFD" w:rsidP="00E85DFD">
      <w:pPr>
        <w:jc w:val="center"/>
      </w:pPr>
      <w:r>
        <w:rPr>
          <w:noProof/>
        </w:rPr>
        <w:drawing>
          <wp:inline distT="0" distB="0" distL="0" distR="0" wp14:anchorId="2007B350" wp14:editId="6276C16D">
            <wp:extent cx="5407573" cy="3074276"/>
            <wp:effectExtent l="0" t="0" r="3175" b="0"/>
            <wp:docPr id="3" name="グラフ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sectPr w:rsidR="00E85DFD" w:rsidSect="00E85DF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DFD"/>
    <w:rsid w:val="00016CD7"/>
    <w:rsid w:val="00021FB1"/>
    <w:rsid w:val="00026A60"/>
    <w:rsid w:val="00030804"/>
    <w:rsid w:val="0003161F"/>
    <w:rsid w:val="00032FB9"/>
    <w:rsid w:val="000453CB"/>
    <w:rsid w:val="0005109E"/>
    <w:rsid w:val="000529C5"/>
    <w:rsid w:val="000602D0"/>
    <w:rsid w:val="00066871"/>
    <w:rsid w:val="0006689D"/>
    <w:rsid w:val="00067BE0"/>
    <w:rsid w:val="00070CC0"/>
    <w:rsid w:val="00076F6C"/>
    <w:rsid w:val="000A3B76"/>
    <w:rsid w:val="000C08BA"/>
    <w:rsid w:val="000C2661"/>
    <w:rsid w:val="000C459D"/>
    <w:rsid w:val="000C683B"/>
    <w:rsid w:val="000D419F"/>
    <w:rsid w:val="000D51B3"/>
    <w:rsid w:val="000D6357"/>
    <w:rsid w:val="000E0655"/>
    <w:rsid w:val="000E0CED"/>
    <w:rsid w:val="000F226D"/>
    <w:rsid w:val="000F3E0B"/>
    <w:rsid w:val="000F537C"/>
    <w:rsid w:val="000F7FDC"/>
    <w:rsid w:val="00105385"/>
    <w:rsid w:val="001167DB"/>
    <w:rsid w:val="001262E5"/>
    <w:rsid w:val="00133BC1"/>
    <w:rsid w:val="001366E6"/>
    <w:rsid w:val="00137882"/>
    <w:rsid w:val="00153404"/>
    <w:rsid w:val="00156291"/>
    <w:rsid w:val="00157C97"/>
    <w:rsid w:val="00161D05"/>
    <w:rsid w:val="00167F5B"/>
    <w:rsid w:val="00173D92"/>
    <w:rsid w:val="001749EB"/>
    <w:rsid w:val="001810E7"/>
    <w:rsid w:val="00186776"/>
    <w:rsid w:val="001871F7"/>
    <w:rsid w:val="00193789"/>
    <w:rsid w:val="00194284"/>
    <w:rsid w:val="001A00CE"/>
    <w:rsid w:val="001A3078"/>
    <w:rsid w:val="001B2219"/>
    <w:rsid w:val="001B676B"/>
    <w:rsid w:val="001C5D87"/>
    <w:rsid w:val="001D2AB8"/>
    <w:rsid w:val="001E21C7"/>
    <w:rsid w:val="001E7457"/>
    <w:rsid w:val="002021A0"/>
    <w:rsid w:val="00203958"/>
    <w:rsid w:val="00216D76"/>
    <w:rsid w:val="00222A37"/>
    <w:rsid w:val="0022352C"/>
    <w:rsid w:val="002322A8"/>
    <w:rsid w:val="00236B32"/>
    <w:rsid w:val="002710DA"/>
    <w:rsid w:val="002715B1"/>
    <w:rsid w:val="00276A24"/>
    <w:rsid w:val="00276CA6"/>
    <w:rsid w:val="00276D3B"/>
    <w:rsid w:val="00281CD9"/>
    <w:rsid w:val="00282A7E"/>
    <w:rsid w:val="00286565"/>
    <w:rsid w:val="0028726A"/>
    <w:rsid w:val="002A6043"/>
    <w:rsid w:val="002B23FA"/>
    <w:rsid w:val="002C0C54"/>
    <w:rsid w:val="002C159D"/>
    <w:rsid w:val="002C5D08"/>
    <w:rsid w:val="002D679E"/>
    <w:rsid w:val="002D6B86"/>
    <w:rsid w:val="002D799D"/>
    <w:rsid w:val="002E0546"/>
    <w:rsid w:val="0030086F"/>
    <w:rsid w:val="003026CA"/>
    <w:rsid w:val="00310EE2"/>
    <w:rsid w:val="003123E6"/>
    <w:rsid w:val="00313245"/>
    <w:rsid w:val="00313CE8"/>
    <w:rsid w:val="00321422"/>
    <w:rsid w:val="00331268"/>
    <w:rsid w:val="00332EC7"/>
    <w:rsid w:val="0033565A"/>
    <w:rsid w:val="00351E9E"/>
    <w:rsid w:val="00356419"/>
    <w:rsid w:val="00365444"/>
    <w:rsid w:val="00380EEB"/>
    <w:rsid w:val="003A05DA"/>
    <w:rsid w:val="003A138A"/>
    <w:rsid w:val="003B79C1"/>
    <w:rsid w:val="003C0D24"/>
    <w:rsid w:val="003C7681"/>
    <w:rsid w:val="003C7ED7"/>
    <w:rsid w:val="003D08E4"/>
    <w:rsid w:val="003D2ECC"/>
    <w:rsid w:val="003D34D0"/>
    <w:rsid w:val="003D511D"/>
    <w:rsid w:val="003E0121"/>
    <w:rsid w:val="003F1582"/>
    <w:rsid w:val="003F369A"/>
    <w:rsid w:val="00403D96"/>
    <w:rsid w:val="0041065B"/>
    <w:rsid w:val="00414E25"/>
    <w:rsid w:val="00415533"/>
    <w:rsid w:val="00415F38"/>
    <w:rsid w:val="00421E85"/>
    <w:rsid w:val="00426101"/>
    <w:rsid w:val="00434E93"/>
    <w:rsid w:val="00436D9A"/>
    <w:rsid w:val="00440F95"/>
    <w:rsid w:val="00444CB4"/>
    <w:rsid w:val="00453825"/>
    <w:rsid w:val="00454640"/>
    <w:rsid w:val="004570FC"/>
    <w:rsid w:val="0046187D"/>
    <w:rsid w:val="004639B2"/>
    <w:rsid w:val="00466993"/>
    <w:rsid w:val="00473EE2"/>
    <w:rsid w:val="00481561"/>
    <w:rsid w:val="0048461B"/>
    <w:rsid w:val="004871F0"/>
    <w:rsid w:val="00490650"/>
    <w:rsid w:val="00496229"/>
    <w:rsid w:val="004A3AB6"/>
    <w:rsid w:val="004B2CB6"/>
    <w:rsid w:val="004C259F"/>
    <w:rsid w:val="004C77ED"/>
    <w:rsid w:val="004D0E23"/>
    <w:rsid w:val="004D667E"/>
    <w:rsid w:val="004D76AA"/>
    <w:rsid w:val="004E4FED"/>
    <w:rsid w:val="005051A5"/>
    <w:rsid w:val="00507641"/>
    <w:rsid w:val="0051269A"/>
    <w:rsid w:val="0052021F"/>
    <w:rsid w:val="00523CE8"/>
    <w:rsid w:val="00524886"/>
    <w:rsid w:val="0053114B"/>
    <w:rsid w:val="005324FC"/>
    <w:rsid w:val="00533D0E"/>
    <w:rsid w:val="00540353"/>
    <w:rsid w:val="005502C0"/>
    <w:rsid w:val="0056254C"/>
    <w:rsid w:val="00563D49"/>
    <w:rsid w:val="0057673A"/>
    <w:rsid w:val="00576FC3"/>
    <w:rsid w:val="00594BD8"/>
    <w:rsid w:val="005B5F4C"/>
    <w:rsid w:val="005D3026"/>
    <w:rsid w:val="005D5B02"/>
    <w:rsid w:val="005E0768"/>
    <w:rsid w:val="005E081B"/>
    <w:rsid w:val="005F6765"/>
    <w:rsid w:val="006071FA"/>
    <w:rsid w:val="00615A05"/>
    <w:rsid w:val="006258B2"/>
    <w:rsid w:val="006339BD"/>
    <w:rsid w:val="00636CFC"/>
    <w:rsid w:val="00641E90"/>
    <w:rsid w:val="006429DB"/>
    <w:rsid w:val="00645934"/>
    <w:rsid w:val="006473BB"/>
    <w:rsid w:val="0064747F"/>
    <w:rsid w:val="00663D46"/>
    <w:rsid w:val="00666C85"/>
    <w:rsid w:val="006673FE"/>
    <w:rsid w:val="0067171D"/>
    <w:rsid w:val="006811DA"/>
    <w:rsid w:val="006814B3"/>
    <w:rsid w:val="0069070B"/>
    <w:rsid w:val="006A524A"/>
    <w:rsid w:val="006A6E73"/>
    <w:rsid w:val="006B2B0A"/>
    <w:rsid w:val="006C1DE1"/>
    <w:rsid w:val="006C4164"/>
    <w:rsid w:val="006C7005"/>
    <w:rsid w:val="006C7489"/>
    <w:rsid w:val="006D712A"/>
    <w:rsid w:val="006E0735"/>
    <w:rsid w:val="006E09C2"/>
    <w:rsid w:val="006F057F"/>
    <w:rsid w:val="006F123B"/>
    <w:rsid w:val="006F7CBA"/>
    <w:rsid w:val="00701283"/>
    <w:rsid w:val="007029B3"/>
    <w:rsid w:val="007043AB"/>
    <w:rsid w:val="00711D92"/>
    <w:rsid w:val="00740DEA"/>
    <w:rsid w:val="007451C2"/>
    <w:rsid w:val="00751C16"/>
    <w:rsid w:val="00756CAE"/>
    <w:rsid w:val="007609CE"/>
    <w:rsid w:val="00760CEE"/>
    <w:rsid w:val="00764102"/>
    <w:rsid w:val="00771C01"/>
    <w:rsid w:val="00771CD7"/>
    <w:rsid w:val="00773367"/>
    <w:rsid w:val="00774C74"/>
    <w:rsid w:val="0078788F"/>
    <w:rsid w:val="007933CF"/>
    <w:rsid w:val="00794CA5"/>
    <w:rsid w:val="007A283E"/>
    <w:rsid w:val="007A29F4"/>
    <w:rsid w:val="007B004C"/>
    <w:rsid w:val="007C3C70"/>
    <w:rsid w:val="007C44E9"/>
    <w:rsid w:val="007C45C1"/>
    <w:rsid w:val="007C7DAB"/>
    <w:rsid w:val="007E70C8"/>
    <w:rsid w:val="008029D9"/>
    <w:rsid w:val="008078BE"/>
    <w:rsid w:val="0082157B"/>
    <w:rsid w:val="00821788"/>
    <w:rsid w:val="00847A97"/>
    <w:rsid w:val="00857545"/>
    <w:rsid w:val="00873EEF"/>
    <w:rsid w:val="00876938"/>
    <w:rsid w:val="008772F2"/>
    <w:rsid w:val="00892F54"/>
    <w:rsid w:val="00893261"/>
    <w:rsid w:val="008A18EC"/>
    <w:rsid w:val="008A697D"/>
    <w:rsid w:val="008A7890"/>
    <w:rsid w:val="008B4877"/>
    <w:rsid w:val="008C1A10"/>
    <w:rsid w:val="008D3DA9"/>
    <w:rsid w:val="008D765D"/>
    <w:rsid w:val="008E2C62"/>
    <w:rsid w:val="008E3238"/>
    <w:rsid w:val="008E4E02"/>
    <w:rsid w:val="008E64AF"/>
    <w:rsid w:val="008F0C15"/>
    <w:rsid w:val="008F23E8"/>
    <w:rsid w:val="008F7A7A"/>
    <w:rsid w:val="00912681"/>
    <w:rsid w:val="0091700E"/>
    <w:rsid w:val="00925D6D"/>
    <w:rsid w:val="009315C0"/>
    <w:rsid w:val="0093533B"/>
    <w:rsid w:val="00940492"/>
    <w:rsid w:val="0094587B"/>
    <w:rsid w:val="009465D5"/>
    <w:rsid w:val="0096443F"/>
    <w:rsid w:val="00972397"/>
    <w:rsid w:val="009756EB"/>
    <w:rsid w:val="00980100"/>
    <w:rsid w:val="00984692"/>
    <w:rsid w:val="00990CE9"/>
    <w:rsid w:val="009931DE"/>
    <w:rsid w:val="00993E4F"/>
    <w:rsid w:val="009954F0"/>
    <w:rsid w:val="009A16B2"/>
    <w:rsid w:val="009B51C6"/>
    <w:rsid w:val="009D1686"/>
    <w:rsid w:val="009D4611"/>
    <w:rsid w:val="009F5DE0"/>
    <w:rsid w:val="009F706B"/>
    <w:rsid w:val="00A0096E"/>
    <w:rsid w:val="00A04349"/>
    <w:rsid w:val="00A113F2"/>
    <w:rsid w:val="00A14AF8"/>
    <w:rsid w:val="00A301FB"/>
    <w:rsid w:val="00A41443"/>
    <w:rsid w:val="00A4220C"/>
    <w:rsid w:val="00A50054"/>
    <w:rsid w:val="00A70F3A"/>
    <w:rsid w:val="00A73D5F"/>
    <w:rsid w:val="00A819C8"/>
    <w:rsid w:val="00A83797"/>
    <w:rsid w:val="00A83A4E"/>
    <w:rsid w:val="00A903E3"/>
    <w:rsid w:val="00A92EF1"/>
    <w:rsid w:val="00A95226"/>
    <w:rsid w:val="00AB328E"/>
    <w:rsid w:val="00AC0665"/>
    <w:rsid w:val="00AC26A2"/>
    <w:rsid w:val="00AC28A5"/>
    <w:rsid w:val="00AD6912"/>
    <w:rsid w:val="00AE2B40"/>
    <w:rsid w:val="00B07FF1"/>
    <w:rsid w:val="00B10477"/>
    <w:rsid w:val="00B10A60"/>
    <w:rsid w:val="00B14B87"/>
    <w:rsid w:val="00B16D7F"/>
    <w:rsid w:val="00B35793"/>
    <w:rsid w:val="00B42989"/>
    <w:rsid w:val="00B435B5"/>
    <w:rsid w:val="00B449DF"/>
    <w:rsid w:val="00B557EC"/>
    <w:rsid w:val="00B559B7"/>
    <w:rsid w:val="00B55F56"/>
    <w:rsid w:val="00B659EB"/>
    <w:rsid w:val="00B70B3D"/>
    <w:rsid w:val="00B93635"/>
    <w:rsid w:val="00BA2057"/>
    <w:rsid w:val="00BA602E"/>
    <w:rsid w:val="00BC5894"/>
    <w:rsid w:val="00BD4745"/>
    <w:rsid w:val="00BD4C74"/>
    <w:rsid w:val="00BD74CB"/>
    <w:rsid w:val="00BF4400"/>
    <w:rsid w:val="00BF5C56"/>
    <w:rsid w:val="00BF7812"/>
    <w:rsid w:val="00BF7BF6"/>
    <w:rsid w:val="00C03F4F"/>
    <w:rsid w:val="00C12975"/>
    <w:rsid w:val="00C16F80"/>
    <w:rsid w:val="00C2359D"/>
    <w:rsid w:val="00C3195F"/>
    <w:rsid w:val="00C350D8"/>
    <w:rsid w:val="00C42A65"/>
    <w:rsid w:val="00C432B1"/>
    <w:rsid w:val="00C465F3"/>
    <w:rsid w:val="00C47B08"/>
    <w:rsid w:val="00C51BC9"/>
    <w:rsid w:val="00C54647"/>
    <w:rsid w:val="00C8386E"/>
    <w:rsid w:val="00C871FB"/>
    <w:rsid w:val="00C9458B"/>
    <w:rsid w:val="00CB4B15"/>
    <w:rsid w:val="00CB7B5A"/>
    <w:rsid w:val="00CC2301"/>
    <w:rsid w:val="00CD37B1"/>
    <w:rsid w:val="00CE5F0E"/>
    <w:rsid w:val="00CE6AD4"/>
    <w:rsid w:val="00CF6133"/>
    <w:rsid w:val="00D0088D"/>
    <w:rsid w:val="00D077C6"/>
    <w:rsid w:val="00D164C8"/>
    <w:rsid w:val="00D174A5"/>
    <w:rsid w:val="00D24F2D"/>
    <w:rsid w:val="00D33F3E"/>
    <w:rsid w:val="00D45A0C"/>
    <w:rsid w:val="00D53680"/>
    <w:rsid w:val="00D54664"/>
    <w:rsid w:val="00D571AE"/>
    <w:rsid w:val="00D61DBC"/>
    <w:rsid w:val="00D62711"/>
    <w:rsid w:val="00D71821"/>
    <w:rsid w:val="00D729DD"/>
    <w:rsid w:val="00D73B0A"/>
    <w:rsid w:val="00D808DF"/>
    <w:rsid w:val="00D80BBC"/>
    <w:rsid w:val="00D8703F"/>
    <w:rsid w:val="00D903B5"/>
    <w:rsid w:val="00DA0534"/>
    <w:rsid w:val="00DD0D75"/>
    <w:rsid w:val="00DD281B"/>
    <w:rsid w:val="00DD43B5"/>
    <w:rsid w:val="00DE0939"/>
    <w:rsid w:val="00DE564A"/>
    <w:rsid w:val="00DE62A3"/>
    <w:rsid w:val="00DE7014"/>
    <w:rsid w:val="00DF2B45"/>
    <w:rsid w:val="00E13BEF"/>
    <w:rsid w:val="00E14E18"/>
    <w:rsid w:val="00E211CD"/>
    <w:rsid w:val="00E248C0"/>
    <w:rsid w:val="00E35B7E"/>
    <w:rsid w:val="00E36FB2"/>
    <w:rsid w:val="00E535D9"/>
    <w:rsid w:val="00E5701C"/>
    <w:rsid w:val="00E729F2"/>
    <w:rsid w:val="00E74438"/>
    <w:rsid w:val="00E76095"/>
    <w:rsid w:val="00E85DFD"/>
    <w:rsid w:val="00E92DB4"/>
    <w:rsid w:val="00EB68E8"/>
    <w:rsid w:val="00EB7F87"/>
    <w:rsid w:val="00EC2962"/>
    <w:rsid w:val="00EC4119"/>
    <w:rsid w:val="00ED3CF0"/>
    <w:rsid w:val="00ED6448"/>
    <w:rsid w:val="00EF00C4"/>
    <w:rsid w:val="00EF23AC"/>
    <w:rsid w:val="00EF37BB"/>
    <w:rsid w:val="00F02729"/>
    <w:rsid w:val="00F32DBE"/>
    <w:rsid w:val="00F36237"/>
    <w:rsid w:val="00F45A8D"/>
    <w:rsid w:val="00F47F3B"/>
    <w:rsid w:val="00F526F5"/>
    <w:rsid w:val="00F55514"/>
    <w:rsid w:val="00F81FB4"/>
    <w:rsid w:val="00F8629C"/>
    <w:rsid w:val="00F94BBA"/>
    <w:rsid w:val="00FB4FD3"/>
    <w:rsid w:val="00FB6F49"/>
    <w:rsid w:val="00FC3E2A"/>
    <w:rsid w:val="00FD251E"/>
    <w:rsid w:val="00FE0A64"/>
    <w:rsid w:val="00FF17C2"/>
    <w:rsid w:val="00FF585B"/>
    <w:rsid w:val="00FF6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5DF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E85DF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5DF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E85DF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8.1441895504625453E-2"/>
          <c:y val="0.10635244987089164"/>
          <c:w val="0.88131897867287068"/>
          <c:h val="0.67508791562910098"/>
        </c:manualLayout>
      </c:layout>
      <c:lineChart>
        <c:grouping val="standard"/>
        <c:varyColors val="0"/>
        <c:ser>
          <c:idx val="0"/>
          <c:order val="0"/>
          <c:tx>
            <c:strRef>
              <c:f>チャート!$F$35</c:f>
              <c:strCache>
                <c:ptCount val="1"/>
                <c:pt idx="0">
                  <c:v>１２月限</c:v>
                </c:pt>
              </c:strCache>
            </c:strRef>
          </c:tx>
          <c:spPr>
            <a:ln w="12700" cmpd="sng">
              <a:solidFill>
                <a:schemeClr val="tx1"/>
              </a:solidFill>
            </a:ln>
          </c:spPr>
          <c:marker>
            <c:symbol val="diamond"/>
            <c:size val="5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チャート!$A$285:$A$309</c:f>
              <c:numCache>
                <c:formatCode>m"月"d"日"</c:formatCode>
                <c:ptCount val="25"/>
                <c:pt idx="0">
                  <c:v>42174</c:v>
                </c:pt>
                <c:pt idx="1">
                  <c:v>42181</c:v>
                </c:pt>
                <c:pt idx="2">
                  <c:v>42187</c:v>
                </c:pt>
                <c:pt idx="3">
                  <c:v>42195</c:v>
                </c:pt>
                <c:pt idx="4">
                  <c:v>42202</c:v>
                </c:pt>
                <c:pt idx="5">
                  <c:v>42209</c:v>
                </c:pt>
                <c:pt idx="6">
                  <c:v>42216</c:v>
                </c:pt>
                <c:pt idx="7">
                  <c:v>42223</c:v>
                </c:pt>
                <c:pt idx="8">
                  <c:v>42230</c:v>
                </c:pt>
                <c:pt idx="9">
                  <c:v>42237</c:v>
                </c:pt>
                <c:pt idx="10">
                  <c:v>42244</c:v>
                </c:pt>
                <c:pt idx="11">
                  <c:v>42251</c:v>
                </c:pt>
                <c:pt idx="12">
                  <c:v>42258</c:v>
                </c:pt>
                <c:pt idx="13">
                  <c:v>42265</c:v>
                </c:pt>
                <c:pt idx="14">
                  <c:v>42272</c:v>
                </c:pt>
                <c:pt idx="15">
                  <c:v>42279</c:v>
                </c:pt>
                <c:pt idx="16">
                  <c:v>42286</c:v>
                </c:pt>
                <c:pt idx="17">
                  <c:v>42293</c:v>
                </c:pt>
                <c:pt idx="18">
                  <c:v>42300</c:v>
                </c:pt>
                <c:pt idx="19">
                  <c:v>42307</c:v>
                </c:pt>
                <c:pt idx="20">
                  <c:v>42314</c:v>
                </c:pt>
                <c:pt idx="21">
                  <c:v>42321</c:v>
                </c:pt>
                <c:pt idx="22">
                  <c:v>42328</c:v>
                </c:pt>
                <c:pt idx="23">
                  <c:v>42335</c:v>
                </c:pt>
                <c:pt idx="24">
                  <c:v>42342</c:v>
                </c:pt>
              </c:numCache>
            </c:numRef>
          </c:cat>
          <c:val>
            <c:numRef>
              <c:f>チャート!$F$285:$F$309</c:f>
              <c:numCache>
                <c:formatCode>General</c:formatCode>
                <c:ptCount val="25"/>
                <c:pt idx="0">
                  <c:v>368.75</c:v>
                </c:pt>
                <c:pt idx="1">
                  <c:v>402</c:v>
                </c:pt>
                <c:pt idx="2">
                  <c:v>437.25</c:v>
                </c:pt>
                <c:pt idx="3">
                  <c:v>445</c:v>
                </c:pt>
                <c:pt idx="4">
                  <c:v>431.25</c:v>
                </c:pt>
                <c:pt idx="5">
                  <c:v>402.75</c:v>
                </c:pt>
                <c:pt idx="6">
                  <c:v>381.25</c:v>
                </c:pt>
                <c:pt idx="7">
                  <c:v>383.75</c:v>
                </c:pt>
                <c:pt idx="8">
                  <c:v>375.5</c:v>
                </c:pt>
                <c:pt idx="9">
                  <c:v>377.25</c:v>
                </c:pt>
                <c:pt idx="10">
                  <c:v>375</c:v>
                </c:pt>
                <c:pt idx="11">
                  <c:v>363</c:v>
                </c:pt>
                <c:pt idx="12">
                  <c:v>387</c:v>
                </c:pt>
                <c:pt idx="13">
                  <c:v>377.25</c:v>
                </c:pt>
                <c:pt idx="14">
                  <c:v>389</c:v>
                </c:pt>
                <c:pt idx="15">
                  <c:v>389.25</c:v>
                </c:pt>
                <c:pt idx="16">
                  <c:v>382.75</c:v>
                </c:pt>
                <c:pt idx="17">
                  <c:v>376.75</c:v>
                </c:pt>
                <c:pt idx="18">
                  <c:v>379.75</c:v>
                </c:pt>
                <c:pt idx="19">
                  <c:v>382.25</c:v>
                </c:pt>
                <c:pt idx="20">
                  <c:v>373</c:v>
                </c:pt>
                <c:pt idx="21">
                  <c:v>358.25</c:v>
                </c:pt>
                <c:pt idx="22">
                  <c:v>363.25</c:v>
                </c:pt>
                <c:pt idx="23">
                  <c:v>359.25</c:v>
                </c:pt>
                <c:pt idx="24">
                  <c:v>376.25</c:v>
                </c:pt>
              </c:numCache>
            </c:numRef>
          </c:val>
          <c:smooth val="0"/>
        </c:ser>
        <c:ser>
          <c:idx val="2"/>
          <c:order val="1"/>
          <c:tx>
            <c:strRef>
              <c:f>チャート!$B$35</c:f>
              <c:strCache>
                <c:ptCount val="1"/>
                <c:pt idx="0">
                  <c:v>３月限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square"/>
            <c:size val="4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チャート!$A$285:$A$309</c:f>
              <c:numCache>
                <c:formatCode>m"月"d"日"</c:formatCode>
                <c:ptCount val="25"/>
                <c:pt idx="0">
                  <c:v>42174</c:v>
                </c:pt>
                <c:pt idx="1">
                  <c:v>42181</c:v>
                </c:pt>
                <c:pt idx="2">
                  <c:v>42187</c:v>
                </c:pt>
                <c:pt idx="3">
                  <c:v>42195</c:v>
                </c:pt>
                <c:pt idx="4">
                  <c:v>42202</c:v>
                </c:pt>
                <c:pt idx="5">
                  <c:v>42209</c:v>
                </c:pt>
                <c:pt idx="6">
                  <c:v>42216</c:v>
                </c:pt>
                <c:pt idx="7">
                  <c:v>42223</c:v>
                </c:pt>
                <c:pt idx="8">
                  <c:v>42230</c:v>
                </c:pt>
                <c:pt idx="9">
                  <c:v>42237</c:v>
                </c:pt>
                <c:pt idx="10">
                  <c:v>42244</c:v>
                </c:pt>
                <c:pt idx="11">
                  <c:v>42251</c:v>
                </c:pt>
                <c:pt idx="12">
                  <c:v>42258</c:v>
                </c:pt>
                <c:pt idx="13">
                  <c:v>42265</c:v>
                </c:pt>
                <c:pt idx="14">
                  <c:v>42272</c:v>
                </c:pt>
                <c:pt idx="15">
                  <c:v>42279</c:v>
                </c:pt>
                <c:pt idx="16">
                  <c:v>42286</c:v>
                </c:pt>
                <c:pt idx="17">
                  <c:v>42293</c:v>
                </c:pt>
                <c:pt idx="18">
                  <c:v>42300</c:v>
                </c:pt>
                <c:pt idx="19">
                  <c:v>42307</c:v>
                </c:pt>
                <c:pt idx="20">
                  <c:v>42314</c:v>
                </c:pt>
                <c:pt idx="21">
                  <c:v>42321</c:v>
                </c:pt>
                <c:pt idx="22">
                  <c:v>42328</c:v>
                </c:pt>
                <c:pt idx="23">
                  <c:v>42335</c:v>
                </c:pt>
                <c:pt idx="24">
                  <c:v>42342</c:v>
                </c:pt>
              </c:numCache>
            </c:numRef>
          </c:cat>
          <c:val>
            <c:numRef>
              <c:f>チャート!$B$285:$B$309</c:f>
              <c:numCache>
                <c:formatCode>General</c:formatCode>
                <c:ptCount val="25"/>
                <c:pt idx="4">
                  <c:v>441.5</c:v>
                </c:pt>
                <c:pt idx="5">
                  <c:v>412.75</c:v>
                </c:pt>
                <c:pt idx="6">
                  <c:v>392</c:v>
                </c:pt>
                <c:pt idx="7">
                  <c:v>394.75</c:v>
                </c:pt>
                <c:pt idx="8">
                  <c:v>387</c:v>
                </c:pt>
                <c:pt idx="9">
                  <c:v>388.75</c:v>
                </c:pt>
                <c:pt idx="10">
                  <c:v>386.5</c:v>
                </c:pt>
                <c:pt idx="11">
                  <c:v>374.5</c:v>
                </c:pt>
                <c:pt idx="12">
                  <c:v>398.25</c:v>
                </c:pt>
                <c:pt idx="13">
                  <c:v>388.5</c:v>
                </c:pt>
                <c:pt idx="14">
                  <c:v>400.5</c:v>
                </c:pt>
                <c:pt idx="15">
                  <c:v>399.5</c:v>
                </c:pt>
                <c:pt idx="16">
                  <c:v>393.5</c:v>
                </c:pt>
                <c:pt idx="17">
                  <c:v>387.75</c:v>
                </c:pt>
                <c:pt idx="18">
                  <c:v>388.75</c:v>
                </c:pt>
                <c:pt idx="19">
                  <c:v>391.5</c:v>
                </c:pt>
                <c:pt idx="20">
                  <c:v>381.75</c:v>
                </c:pt>
                <c:pt idx="21">
                  <c:v>365.5</c:v>
                </c:pt>
                <c:pt idx="22">
                  <c:v>369.75</c:v>
                </c:pt>
                <c:pt idx="23">
                  <c:v>367.25</c:v>
                </c:pt>
                <c:pt idx="24">
                  <c:v>381.5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02177408"/>
        <c:axId val="102179584"/>
      </c:lineChart>
      <c:dateAx>
        <c:axId val="102177408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>
            <a:solidFill>
              <a:schemeClr val="tx1"/>
            </a:solidFill>
          </a:ln>
        </c:spPr>
        <c:txPr>
          <a:bodyPr rot="-2700000" vert="horz"/>
          <a:lstStyle/>
          <a:p>
            <a:pPr>
              <a:defRPr sz="1200">
                <a:solidFill>
                  <a:sysClr val="windowText" lastClr="000000"/>
                </a:solidFill>
              </a:defRPr>
            </a:pPr>
            <a:endParaRPr lang="ja-JP"/>
          </a:p>
        </c:txPr>
        <c:crossAx val="102179584"/>
        <c:crosses val="autoZero"/>
        <c:auto val="0"/>
        <c:lblOffset val="100"/>
        <c:baseTimeUnit val="days"/>
        <c:majorUnit val="14"/>
        <c:majorTimeUnit val="days"/>
        <c:minorUnit val="2"/>
        <c:minorTimeUnit val="days"/>
      </c:dateAx>
      <c:valAx>
        <c:axId val="102179584"/>
        <c:scaling>
          <c:orientation val="minMax"/>
          <c:max val="450"/>
          <c:min val="350"/>
        </c:scaling>
        <c:delete val="0"/>
        <c:axPos val="l"/>
        <c:majorGridlines>
          <c:spPr>
            <a:ln>
              <a:solidFill>
                <a:schemeClr val="tx1"/>
              </a:solidFill>
              <a:prstDash val="sysDash"/>
            </a:ln>
          </c:spPr>
        </c:majorGridlines>
        <c:numFmt formatCode="General" sourceLinked="1"/>
        <c:majorTickMark val="none"/>
        <c:minorTickMark val="none"/>
        <c:tickLblPos val="nextTo"/>
        <c:spPr>
          <a:ln>
            <a:solidFill>
              <a:schemeClr val="tx1"/>
            </a:solidFill>
          </a:ln>
        </c:spPr>
        <c:txPr>
          <a:bodyPr/>
          <a:lstStyle/>
          <a:p>
            <a:pPr>
              <a:defRPr sz="1200"/>
            </a:pPr>
            <a:endParaRPr lang="ja-JP"/>
          </a:p>
        </c:txPr>
        <c:crossAx val="102177408"/>
        <c:crosses val="autoZero"/>
        <c:crossBetween val="between"/>
        <c:majorUnit val="20"/>
        <c:minorUnit val="10"/>
      </c:valAx>
      <c:spPr>
        <a:ln>
          <a:solidFill>
            <a:schemeClr val="tx1"/>
          </a:solidFill>
        </a:ln>
      </c:spPr>
    </c:plotArea>
    <c:legend>
      <c:legendPos val="r"/>
      <c:layout>
        <c:manualLayout>
          <c:xMode val="edge"/>
          <c:yMode val="edge"/>
          <c:x val="0.71080211837734153"/>
          <c:y val="0.1706229079664637"/>
          <c:w val="0.18583915566892167"/>
          <c:h val="0.17940926764543316"/>
        </c:manualLayout>
      </c:layout>
      <c:overlay val="0"/>
      <c:spPr>
        <a:solidFill>
          <a:schemeClr val="bg1"/>
        </a:solidFill>
        <a:ln>
          <a:solidFill>
            <a:schemeClr val="tx1"/>
          </a:solidFill>
        </a:ln>
      </c:spPr>
      <c:txPr>
        <a:bodyPr/>
        <a:lstStyle/>
        <a:p>
          <a:pPr>
            <a:defRPr sz="1000"/>
          </a:pPr>
          <a:endParaRPr lang="ja-JP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ＭＳ Ｐ明朝" pitchFamily="18" charset="-128"/>
          <a:ea typeface="ＭＳ Ｐ明朝" pitchFamily="18" charset="-128"/>
        </a:defRPr>
      </a:pPr>
      <a:endParaRPr lang="ja-JP"/>
    </a:p>
  </c:tx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6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600"/>
              <a:t>大豆粕シカゴ定期の推移</a:t>
            </a:r>
          </a:p>
        </c:rich>
      </c:tx>
      <c:layout>
        <c:manualLayout>
          <c:xMode val="edge"/>
          <c:yMode val="edge"/>
          <c:x val="0.3229498390897686"/>
          <c:y val="0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8.18337617823479E-2"/>
          <c:y val="9.2837809715320158E-2"/>
          <c:w val="0.89760122529670938"/>
          <c:h val="0.69477280706153766"/>
        </c:manualLayout>
      </c:layout>
      <c:lineChart>
        <c:grouping val="standard"/>
        <c:varyColors val="0"/>
        <c:ser>
          <c:idx val="1"/>
          <c:order val="0"/>
          <c:spPr>
            <a:ln w="12700">
              <a:solidFill>
                <a:schemeClr val="tx1"/>
              </a:solidFill>
              <a:prstDash val="solid"/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  <a:prstDash val="solid"/>
              </a:ln>
            </c:spPr>
          </c:marker>
          <c:cat>
            <c:numRef>
              <c:f>チャート!$AP$285:$AP$309</c:f>
              <c:numCache>
                <c:formatCode>m"月"d"日"</c:formatCode>
                <c:ptCount val="25"/>
                <c:pt idx="0">
                  <c:v>42174</c:v>
                </c:pt>
                <c:pt idx="1">
                  <c:v>42181</c:v>
                </c:pt>
                <c:pt idx="2">
                  <c:v>42187</c:v>
                </c:pt>
                <c:pt idx="3">
                  <c:v>42195</c:v>
                </c:pt>
                <c:pt idx="4">
                  <c:v>42202</c:v>
                </c:pt>
                <c:pt idx="5">
                  <c:v>42209</c:v>
                </c:pt>
                <c:pt idx="6">
                  <c:v>42216</c:v>
                </c:pt>
                <c:pt idx="7">
                  <c:v>42223</c:v>
                </c:pt>
                <c:pt idx="8">
                  <c:v>42230</c:v>
                </c:pt>
                <c:pt idx="9">
                  <c:v>42237</c:v>
                </c:pt>
                <c:pt idx="10">
                  <c:v>42244</c:v>
                </c:pt>
                <c:pt idx="11">
                  <c:v>42251</c:v>
                </c:pt>
                <c:pt idx="12">
                  <c:v>42258</c:v>
                </c:pt>
                <c:pt idx="13">
                  <c:v>42265</c:v>
                </c:pt>
                <c:pt idx="14">
                  <c:v>42272</c:v>
                </c:pt>
                <c:pt idx="15">
                  <c:v>42279</c:v>
                </c:pt>
                <c:pt idx="16">
                  <c:v>42286</c:v>
                </c:pt>
                <c:pt idx="17">
                  <c:v>42293</c:v>
                </c:pt>
                <c:pt idx="18">
                  <c:v>42300</c:v>
                </c:pt>
                <c:pt idx="19">
                  <c:v>42307</c:v>
                </c:pt>
                <c:pt idx="20">
                  <c:v>42314</c:v>
                </c:pt>
                <c:pt idx="21">
                  <c:v>42321</c:v>
                </c:pt>
                <c:pt idx="22">
                  <c:v>42328</c:v>
                </c:pt>
                <c:pt idx="23">
                  <c:v>42335</c:v>
                </c:pt>
                <c:pt idx="24">
                  <c:v>42342</c:v>
                </c:pt>
              </c:numCache>
            </c:numRef>
          </c:cat>
          <c:val>
            <c:numRef>
              <c:f>チャート!$AQ$285:$AQ$309</c:f>
              <c:numCache>
                <c:formatCode>#,##0.00_);[Red]\(#,##0.00\)</c:formatCode>
                <c:ptCount val="25"/>
                <c:pt idx="0">
                  <c:v>356.15313000000003</c:v>
                </c:pt>
                <c:pt idx="1">
                  <c:v>376.21499000000006</c:v>
                </c:pt>
                <c:pt idx="2">
                  <c:v>393.96202</c:v>
                </c:pt>
                <c:pt idx="3">
                  <c:v>403.4418</c:v>
                </c:pt>
                <c:pt idx="4">
                  <c:v>398.04053000000005</c:v>
                </c:pt>
                <c:pt idx="5">
                  <c:v>391.09604000000002</c:v>
                </c:pt>
                <c:pt idx="6">
                  <c:v>390.87558000000007</c:v>
                </c:pt>
                <c:pt idx="7">
                  <c:v>388.67098000000004</c:v>
                </c:pt>
                <c:pt idx="8">
                  <c:v>364.75106999999997</c:v>
                </c:pt>
                <c:pt idx="9">
                  <c:v>360.34186999999997</c:v>
                </c:pt>
                <c:pt idx="10">
                  <c:v>354.27922000000001</c:v>
                </c:pt>
                <c:pt idx="11">
                  <c:v>346.01197000000002</c:v>
                </c:pt>
                <c:pt idx="12">
                  <c:v>346.23243000000002</c:v>
                </c:pt>
                <c:pt idx="13">
                  <c:v>340.61070000000001</c:v>
                </c:pt>
                <c:pt idx="14">
                  <c:v>340.28001</c:v>
                </c:pt>
                <c:pt idx="15">
                  <c:v>329.03655000000003</c:v>
                </c:pt>
                <c:pt idx="16">
                  <c:v>338.29586999999998</c:v>
                </c:pt>
                <c:pt idx="17">
                  <c:v>343.91759999999999</c:v>
                </c:pt>
                <c:pt idx="18">
                  <c:v>336.31173000000007</c:v>
                </c:pt>
                <c:pt idx="19">
                  <c:v>335.54012</c:v>
                </c:pt>
                <c:pt idx="20">
                  <c:v>325.95011</c:v>
                </c:pt>
                <c:pt idx="21">
                  <c:v>318.34424000000001</c:v>
                </c:pt>
                <c:pt idx="22">
                  <c:v>311.95089999999999</c:v>
                </c:pt>
                <c:pt idx="23">
                  <c:v>311.28951999999998</c:v>
                </c:pt>
                <c:pt idx="24">
                  <c:v>314.26573000000002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02639104"/>
        <c:axId val="102641024"/>
      </c:lineChart>
      <c:dateAx>
        <c:axId val="102639104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solidFill>
            <a:srgbClr val="FFFFFF"/>
          </a:solidFill>
          <a:ln w="952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02641024"/>
        <c:crosses val="autoZero"/>
        <c:auto val="0"/>
        <c:lblOffset val="100"/>
        <c:baseTimeUnit val="days"/>
        <c:majorUnit val="14"/>
        <c:majorTimeUnit val="days"/>
        <c:minorUnit val="2"/>
        <c:minorTimeUnit val="days"/>
      </c:dateAx>
      <c:valAx>
        <c:axId val="102641024"/>
        <c:scaling>
          <c:orientation val="minMax"/>
          <c:max val="410"/>
          <c:min val="310"/>
        </c:scaling>
        <c:delete val="0"/>
        <c:axPos val="l"/>
        <c:majorGridlines>
          <c:spPr>
            <a:ln w="9525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000" b="0" i="0" u="none" strike="noStrike" baseline="0">
                    <a:solidFill>
                      <a:srgbClr val="000000"/>
                    </a:solidFill>
                    <a:latin typeface="ＭＳ Ｐゴシック"/>
                    <a:ea typeface="ＭＳ Ｐゴシック"/>
                    <a:cs typeface="ＭＳ Ｐゴシック"/>
                  </a:defRPr>
                </a:pPr>
                <a:r>
                  <a:rPr lang="ja-JP" altLang="en-US" sz="1000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ドル/トン</a:t>
                </a:r>
              </a:p>
            </c:rich>
          </c:tx>
          <c:layout>
            <c:manualLayout>
              <c:xMode val="edge"/>
              <c:yMode val="edge"/>
              <c:x val="4.2416452818049559E-2"/>
              <c:y val="8.6655344552519168E-3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952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02639104"/>
        <c:crosses val="autoZero"/>
        <c:crossBetween val="between"/>
        <c:majorUnit val="20"/>
        <c:minorUnit val="20"/>
      </c:valAx>
      <c:spPr>
        <a:solidFill>
          <a:srgbClr val="FFFFFF"/>
        </a:solidFill>
        <a:ln w="9525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6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600"/>
              <a:t>ドル円為替相場（東京市場対顧客電信相場）</a:t>
            </a:r>
          </a:p>
        </c:rich>
      </c:tx>
      <c:layout>
        <c:manualLayout>
          <c:xMode val="edge"/>
          <c:yMode val="edge"/>
          <c:x val="0.16411429408823808"/>
          <c:y val="3.9479056028965181E-3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9.3710733526730206E-2"/>
          <c:y val="0.10720702045328911"/>
          <c:w val="0.8817737256527145"/>
          <c:h val="0.62689605239664004"/>
        </c:manualLayout>
      </c:layout>
      <c:lineChart>
        <c:grouping val="standard"/>
        <c:varyColors val="0"/>
        <c:ser>
          <c:idx val="0"/>
          <c:order val="0"/>
          <c:spPr>
            <a:ln w="12700">
              <a:solidFill>
                <a:schemeClr val="tx1"/>
              </a:solidFill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チャート!$AC$285:$AC$309</c:f>
              <c:numCache>
                <c:formatCode>m"月"d"日"</c:formatCode>
                <c:ptCount val="25"/>
                <c:pt idx="0">
                  <c:v>42174</c:v>
                </c:pt>
                <c:pt idx="1">
                  <c:v>42181</c:v>
                </c:pt>
                <c:pt idx="2">
                  <c:v>42187</c:v>
                </c:pt>
                <c:pt idx="3">
                  <c:v>42195</c:v>
                </c:pt>
                <c:pt idx="4">
                  <c:v>42202</c:v>
                </c:pt>
                <c:pt idx="5">
                  <c:v>42209</c:v>
                </c:pt>
                <c:pt idx="6">
                  <c:v>42216</c:v>
                </c:pt>
                <c:pt idx="7">
                  <c:v>42223</c:v>
                </c:pt>
                <c:pt idx="8">
                  <c:v>42230</c:v>
                </c:pt>
                <c:pt idx="9">
                  <c:v>42237</c:v>
                </c:pt>
                <c:pt idx="10">
                  <c:v>42244</c:v>
                </c:pt>
                <c:pt idx="11">
                  <c:v>42251</c:v>
                </c:pt>
                <c:pt idx="12">
                  <c:v>42258</c:v>
                </c:pt>
                <c:pt idx="13">
                  <c:v>42265</c:v>
                </c:pt>
                <c:pt idx="14">
                  <c:v>42272</c:v>
                </c:pt>
                <c:pt idx="15">
                  <c:v>42279</c:v>
                </c:pt>
                <c:pt idx="16">
                  <c:v>42286</c:v>
                </c:pt>
                <c:pt idx="17">
                  <c:v>42293</c:v>
                </c:pt>
                <c:pt idx="18">
                  <c:v>42300</c:v>
                </c:pt>
                <c:pt idx="19">
                  <c:v>42307</c:v>
                </c:pt>
                <c:pt idx="20">
                  <c:v>42314</c:v>
                </c:pt>
                <c:pt idx="21">
                  <c:v>42321</c:v>
                </c:pt>
                <c:pt idx="22">
                  <c:v>42328</c:v>
                </c:pt>
                <c:pt idx="23">
                  <c:v>42335</c:v>
                </c:pt>
                <c:pt idx="24">
                  <c:v>42342</c:v>
                </c:pt>
              </c:numCache>
            </c:numRef>
          </c:cat>
          <c:val>
            <c:numRef>
              <c:f>チャート!$AD$285:$AD$309</c:f>
              <c:numCache>
                <c:formatCode>General</c:formatCode>
                <c:ptCount val="25"/>
                <c:pt idx="0">
                  <c:v>122.98</c:v>
                </c:pt>
                <c:pt idx="1">
                  <c:v>123.52</c:v>
                </c:pt>
                <c:pt idx="2">
                  <c:v>123</c:v>
                </c:pt>
                <c:pt idx="3">
                  <c:v>121.65</c:v>
                </c:pt>
                <c:pt idx="4">
                  <c:v>124.24</c:v>
                </c:pt>
                <c:pt idx="5">
                  <c:v>124.02</c:v>
                </c:pt>
                <c:pt idx="6">
                  <c:v>124.04</c:v>
                </c:pt>
                <c:pt idx="7">
                  <c:v>124.74</c:v>
                </c:pt>
                <c:pt idx="8">
                  <c:v>124.43</c:v>
                </c:pt>
                <c:pt idx="9">
                  <c:v>123.49</c:v>
                </c:pt>
                <c:pt idx="10">
                  <c:v>121.15</c:v>
                </c:pt>
                <c:pt idx="11">
                  <c:v>119.93</c:v>
                </c:pt>
                <c:pt idx="12">
                  <c:v>120.82</c:v>
                </c:pt>
                <c:pt idx="13">
                  <c:v>119.82</c:v>
                </c:pt>
                <c:pt idx="14">
                  <c:v>120.36</c:v>
                </c:pt>
                <c:pt idx="15">
                  <c:v>119.89</c:v>
                </c:pt>
                <c:pt idx="16">
                  <c:v>119.99</c:v>
                </c:pt>
                <c:pt idx="17">
                  <c:v>119.01</c:v>
                </c:pt>
                <c:pt idx="18">
                  <c:v>120.96</c:v>
                </c:pt>
                <c:pt idx="19">
                  <c:v>120.9</c:v>
                </c:pt>
                <c:pt idx="20">
                  <c:v>121.73</c:v>
                </c:pt>
                <c:pt idx="21">
                  <c:v>122.58</c:v>
                </c:pt>
                <c:pt idx="22">
                  <c:v>122.96</c:v>
                </c:pt>
                <c:pt idx="23">
                  <c:v>122.74</c:v>
                </c:pt>
                <c:pt idx="24">
                  <c:v>122.71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03062528"/>
        <c:axId val="103064704"/>
      </c:lineChart>
      <c:dateAx>
        <c:axId val="103062528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952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03064704"/>
        <c:crosses val="autoZero"/>
        <c:auto val="0"/>
        <c:lblOffset val="100"/>
        <c:baseTimeUnit val="days"/>
        <c:majorUnit val="14"/>
        <c:majorTimeUnit val="days"/>
        <c:minorUnit val="2"/>
        <c:minorTimeUnit val="days"/>
      </c:dateAx>
      <c:valAx>
        <c:axId val="103064704"/>
        <c:scaling>
          <c:orientation val="minMax"/>
          <c:max val="126"/>
          <c:min val="118"/>
        </c:scaling>
        <c:delete val="0"/>
        <c:axPos val="l"/>
        <c:majorGridlines>
          <c:spPr>
            <a:ln w="9525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ＭＳ Ｐゴシック"/>
                    <a:ea typeface="ＭＳ Ｐゴシック"/>
                    <a:cs typeface="ＭＳ Ｐゴシック"/>
                  </a:defRPr>
                </a:pPr>
                <a:r>
                  <a:rPr lang="ja-JP" altLang="en-US" sz="1000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円/ドル</a:t>
                </a:r>
              </a:p>
            </c:rich>
          </c:tx>
          <c:layout>
            <c:manualLayout>
              <c:xMode val="edge"/>
              <c:yMode val="edge"/>
              <c:x val="4.6451707503042561E-2"/>
              <c:y val="8.6654666062955313E-3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03062528"/>
        <c:crosses val="autoZero"/>
        <c:crossBetween val="between"/>
        <c:majorUnit val="2"/>
      </c:valAx>
      <c:spPr>
        <a:solidFill>
          <a:srgbClr val="FFFFFF"/>
        </a:solidFill>
        <a:ln w="9525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0.3081</cdr:x>
      <cdr:y>0</cdr:y>
    </cdr:from>
    <cdr:to>
      <cdr:x>0.74288</cdr:x>
      <cdr:y>0.09047</cdr:y>
    </cdr:to>
    <cdr:sp macro="" textlink="">
      <cdr:nvSpPr>
        <cdr:cNvPr id="2" name="テキスト ボックス 1"/>
        <cdr:cNvSpPr txBox="1"/>
      </cdr:nvSpPr>
      <cdr:spPr>
        <a:xfrm xmlns:a="http://schemas.openxmlformats.org/drawingml/2006/main">
          <a:off x="1665900" y="0"/>
          <a:ext cx="2350866" cy="28379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 anchor="ctr"/>
        <a:lstStyle xmlns:a="http://schemas.openxmlformats.org/drawingml/2006/main"/>
        <a:p xmlns:a="http://schemas.openxmlformats.org/drawingml/2006/main">
          <a:pPr algn="ctr"/>
          <a:r>
            <a:rPr lang="ja-JP" altLang="en-US" sz="1600">
              <a:latin typeface="ＭＳ Ｐ明朝" pitchFamily="18" charset="-128"/>
              <a:ea typeface="ＭＳ Ｐ明朝" pitchFamily="18" charset="-128"/>
            </a:rPr>
            <a:t>とうもろこしシカゴ定期の推移</a:t>
          </a:r>
        </a:p>
      </cdr:txBody>
    </cdr:sp>
  </cdr:relSizeAnchor>
  <cdr:relSizeAnchor xmlns:cdr="http://schemas.openxmlformats.org/drawingml/2006/chartDrawing">
    <cdr:from>
      <cdr:x>0.06583</cdr:x>
      <cdr:y>0.01564</cdr:y>
    </cdr:from>
    <cdr:to>
      <cdr:x>0.23432</cdr:x>
      <cdr:y>0.07677</cdr:y>
    </cdr:to>
    <cdr:sp macro="" textlink="">
      <cdr:nvSpPr>
        <cdr:cNvPr id="3" name="テキスト ボックス 2"/>
        <cdr:cNvSpPr txBox="1"/>
      </cdr:nvSpPr>
      <cdr:spPr>
        <a:xfrm xmlns:a="http://schemas.openxmlformats.org/drawingml/2006/main">
          <a:off x="355944" y="49074"/>
          <a:ext cx="911030" cy="19175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pPr algn="ctr"/>
          <a:r>
            <a:rPr lang="ja-JP" altLang="en-US" sz="1000">
              <a:latin typeface="ＭＳ Ｐ明朝" pitchFamily="18" charset="-128"/>
              <a:ea typeface="ＭＳ Ｐ明朝" pitchFamily="18" charset="-128"/>
            </a:rPr>
            <a:t>セント</a:t>
          </a:r>
          <a:r>
            <a:rPr lang="en-US" altLang="ja-JP" sz="1000">
              <a:latin typeface="ＭＳ Ｐ明朝" pitchFamily="18" charset="-128"/>
              <a:ea typeface="ＭＳ Ｐ明朝" pitchFamily="18" charset="-128"/>
            </a:rPr>
            <a:t>/</a:t>
          </a:r>
          <a:r>
            <a:rPr lang="ja-JP" altLang="en-US" sz="1000">
              <a:latin typeface="ＭＳ Ｐ明朝" pitchFamily="18" charset="-128"/>
              <a:ea typeface="ＭＳ Ｐ明朝" pitchFamily="18" charset="-128"/>
            </a:rPr>
            <a:t>ブッシェル</a:t>
          </a:r>
        </a:p>
      </cdr:txBody>
    </cdr:sp>
  </cdr:relSizeAnchor>
</c:userShape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ホクレン農業協同組合連合会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l4162m</dc:creator>
  <cp:lastModifiedBy>M4162A</cp:lastModifiedBy>
  <cp:revision>3</cp:revision>
  <cp:lastPrinted>2015-12-10T08:18:00Z</cp:lastPrinted>
  <dcterms:created xsi:type="dcterms:W3CDTF">2015-12-10T07:58:00Z</dcterms:created>
  <dcterms:modified xsi:type="dcterms:W3CDTF">2015-12-15T00:05:00Z</dcterms:modified>
</cp:coreProperties>
</file>