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drawings/drawing1.xml" ContentType="application/vnd.openxmlformats-officedocument.drawingml.chartshapes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219E" w:rsidRDefault="00B3219E" w:rsidP="004E5E20">
      <w:pPr>
        <w:jc w:val="center"/>
      </w:pPr>
      <w:r>
        <w:rPr>
          <w:noProof/>
        </w:rPr>
        <w:drawing>
          <wp:inline distT="0" distB="0" distL="0" distR="0" wp14:anchorId="3B07542F" wp14:editId="23355C8D">
            <wp:extent cx="5564038" cy="3140015"/>
            <wp:effectExtent l="0" t="0" r="0" b="3810"/>
            <wp:docPr id="1" name="グラフ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  <w:bookmarkStart w:id="0" w:name="_GoBack"/>
      <w:bookmarkEnd w:id="0"/>
    </w:p>
    <w:p w:rsidR="00B3219E" w:rsidRDefault="00B3219E" w:rsidP="004E5E20">
      <w:pPr>
        <w:jc w:val="center"/>
      </w:pPr>
      <w:r>
        <w:rPr>
          <w:noProof/>
        </w:rPr>
        <w:drawing>
          <wp:inline distT="0" distB="0" distL="0" distR="0" wp14:anchorId="3DFCCE13" wp14:editId="267A8D9D">
            <wp:extent cx="5417389" cy="3200400"/>
            <wp:effectExtent l="0" t="0" r="0" b="0"/>
            <wp:docPr id="3" name="グラフ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B3219E" w:rsidRDefault="00B3219E" w:rsidP="004E5E20">
      <w:pPr>
        <w:jc w:val="center"/>
      </w:pPr>
      <w:r>
        <w:rPr>
          <w:noProof/>
        </w:rPr>
        <w:drawing>
          <wp:inline distT="0" distB="0" distL="0" distR="0" wp14:anchorId="401F6CC7" wp14:editId="6B8B542A">
            <wp:extent cx="5482166" cy="3238501"/>
            <wp:effectExtent l="0" t="0" r="4445" b="0"/>
            <wp:docPr id="4" name="グラフ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sectPr w:rsidR="00B3219E" w:rsidSect="00E85DFD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0ADA" w:rsidRDefault="00740ADA" w:rsidP="0018342C">
      <w:r>
        <w:separator/>
      </w:r>
    </w:p>
  </w:endnote>
  <w:endnote w:type="continuationSeparator" w:id="0">
    <w:p w:rsidR="00740ADA" w:rsidRDefault="00740ADA" w:rsidP="001834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0ADA" w:rsidRDefault="00740ADA" w:rsidP="0018342C">
      <w:r>
        <w:separator/>
      </w:r>
    </w:p>
  </w:footnote>
  <w:footnote w:type="continuationSeparator" w:id="0">
    <w:p w:rsidR="00740ADA" w:rsidRDefault="00740ADA" w:rsidP="0018342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40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5DFD"/>
    <w:rsid w:val="00016CD7"/>
    <w:rsid w:val="00021FB1"/>
    <w:rsid w:val="00026A60"/>
    <w:rsid w:val="00030804"/>
    <w:rsid w:val="0003161F"/>
    <w:rsid w:val="00032FB9"/>
    <w:rsid w:val="000453CB"/>
    <w:rsid w:val="0005109E"/>
    <w:rsid w:val="000529C5"/>
    <w:rsid w:val="000602D0"/>
    <w:rsid w:val="00066871"/>
    <w:rsid w:val="0006689D"/>
    <w:rsid w:val="00067BE0"/>
    <w:rsid w:val="00070CC0"/>
    <w:rsid w:val="00076F6C"/>
    <w:rsid w:val="00081B3F"/>
    <w:rsid w:val="000A3B76"/>
    <w:rsid w:val="000C08BA"/>
    <w:rsid w:val="000C2661"/>
    <w:rsid w:val="000C459D"/>
    <w:rsid w:val="000C683B"/>
    <w:rsid w:val="000D419F"/>
    <w:rsid w:val="000D51B3"/>
    <w:rsid w:val="000D6357"/>
    <w:rsid w:val="000E0655"/>
    <w:rsid w:val="000E0CED"/>
    <w:rsid w:val="000F226D"/>
    <w:rsid w:val="000F3E0B"/>
    <w:rsid w:val="000F537C"/>
    <w:rsid w:val="000F7FDC"/>
    <w:rsid w:val="00105385"/>
    <w:rsid w:val="001167DB"/>
    <w:rsid w:val="001262E5"/>
    <w:rsid w:val="00133BC1"/>
    <w:rsid w:val="001366E6"/>
    <w:rsid w:val="00137882"/>
    <w:rsid w:val="00153404"/>
    <w:rsid w:val="00156291"/>
    <w:rsid w:val="00157C97"/>
    <w:rsid w:val="00161D05"/>
    <w:rsid w:val="00167F5B"/>
    <w:rsid w:val="00173D92"/>
    <w:rsid w:val="001749EB"/>
    <w:rsid w:val="001810E7"/>
    <w:rsid w:val="0018342C"/>
    <w:rsid w:val="00186776"/>
    <w:rsid w:val="001871F7"/>
    <w:rsid w:val="00193789"/>
    <w:rsid w:val="00194284"/>
    <w:rsid w:val="001A00CE"/>
    <w:rsid w:val="001A3078"/>
    <w:rsid w:val="001B2219"/>
    <w:rsid w:val="001B676B"/>
    <w:rsid w:val="001C5D87"/>
    <w:rsid w:val="001D2AB8"/>
    <w:rsid w:val="001E21C7"/>
    <w:rsid w:val="001E7457"/>
    <w:rsid w:val="002021A0"/>
    <w:rsid w:val="00203958"/>
    <w:rsid w:val="00216D76"/>
    <w:rsid w:val="00222A37"/>
    <w:rsid w:val="0022352C"/>
    <w:rsid w:val="002322A8"/>
    <w:rsid w:val="00236B32"/>
    <w:rsid w:val="002710DA"/>
    <w:rsid w:val="002715B1"/>
    <w:rsid w:val="00276A24"/>
    <w:rsid w:val="00276CA6"/>
    <w:rsid w:val="00276D3B"/>
    <w:rsid w:val="00281CD9"/>
    <w:rsid w:val="00282A7E"/>
    <w:rsid w:val="00286565"/>
    <w:rsid w:val="0028726A"/>
    <w:rsid w:val="002A6043"/>
    <w:rsid w:val="002B23FA"/>
    <w:rsid w:val="002C0C54"/>
    <w:rsid w:val="002C159D"/>
    <w:rsid w:val="002C5D08"/>
    <w:rsid w:val="002D679E"/>
    <w:rsid w:val="002D6B86"/>
    <w:rsid w:val="002D799D"/>
    <w:rsid w:val="002E0546"/>
    <w:rsid w:val="0030086F"/>
    <w:rsid w:val="003026CA"/>
    <w:rsid w:val="00310EE2"/>
    <w:rsid w:val="003123E6"/>
    <w:rsid w:val="00313245"/>
    <w:rsid w:val="00313CE8"/>
    <w:rsid w:val="00321422"/>
    <w:rsid w:val="00331268"/>
    <w:rsid w:val="00332EC7"/>
    <w:rsid w:val="0033565A"/>
    <w:rsid w:val="00341263"/>
    <w:rsid w:val="00351E9E"/>
    <w:rsid w:val="00356419"/>
    <w:rsid w:val="00365444"/>
    <w:rsid w:val="00380EEB"/>
    <w:rsid w:val="003A05DA"/>
    <w:rsid w:val="003A138A"/>
    <w:rsid w:val="003B79C1"/>
    <w:rsid w:val="003C0D24"/>
    <w:rsid w:val="003C7681"/>
    <w:rsid w:val="003C7ED7"/>
    <w:rsid w:val="003D08E4"/>
    <w:rsid w:val="003D2ECC"/>
    <w:rsid w:val="003D34D0"/>
    <w:rsid w:val="003D511D"/>
    <w:rsid w:val="003E0121"/>
    <w:rsid w:val="003F1582"/>
    <w:rsid w:val="003F369A"/>
    <w:rsid w:val="00403D96"/>
    <w:rsid w:val="0041065B"/>
    <w:rsid w:val="00414E25"/>
    <w:rsid w:val="00415533"/>
    <w:rsid w:val="00415F38"/>
    <w:rsid w:val="00421E85"/>
    <w:rsid w:val="00426101"/>
    <w:rsid w:val="00434E93"/>
    <w:rsid w:val="00436D9A"/>
    <w:rsid w:val="00440F95"/>
    <w:rsid w:val="00444CB4"/>
    <w:rsid w:val="00453825"/>
    <w:rsid w:val="00454640"/>
    <w:rsid w:val="004570FC"/>
    <w:rsid w:val="0046187D"/>
    <w:rsid w:val="004639B2"/>
    <w:rsid w:val="00466993"/>
    <w:rsid w:val="00473EE2"/>
    <w:rsid w:val="00481561"/>
    <w:rsid w:val="0048461B"/>
    <w:rsid w:val="004871F0"/>
    <w:rsid w:val="00490650"/>
    <w:rsid w:val="00496229"/>
    <w:rsid w:val="004A3AB6"/>
    <w:rsid w:val="004B2CB6"/>
    <w:rsid w:val="004C259F"/>
    <w:rsid w:val="004C77ED"/>
    <w:rsid w:val="004D0E23"/>
    <w:rsid w:val="004D667E"/>
    <w:rsid w:val="004D76AA"/>
    <w:rsid w:val="004E4FED"/>
    <w:rsid w:val="004E5E20"/>
    <w:rsid w:val="004F278B"/>
    <w:rsid w:val="0050386A"/>
    <w:rsid w:val="00507641"/>
    <w:rsid w:val="0051269A"/>
    <w:rsid w:val="0052021F"/>
    <w:rsid w:val="00523CE8"/>
    <w:rsid w:val="00524886"/>
    <w:rsid w:val="0053114B"/>
    <w:rsid w:val="005324FC"/>
    <w:rsid w:val="00533D0E"/>
    <w:rsid w:val="00540353"/>
    <w:rsid w:val="005502C0"/>
    <w:rsid w:val="0056254C"/>
    <w:rsid w:val="00563D49"/>
    <w:rsid w:val="0057673A"/>
    <w:rsid w:val="00576FC3"/>
    <w:rsid w:val="00594BD8"/>
    <w:rsid w:val="005B5F4C"/>
    <w:rsid w:val="005D3026"/>
    <w:rsid w:val="005D5B02"/>
    <w:rsid w:val="005E0768"/>
    <w:rsid w:val="005E081B"/>
    <w:rsid w:val="005F6765"/>
    <w:rsid w:val="006071FA"/>
    <w:rsid w:val="00615A05"/>
    <w:rsid w:val="006258B2"/>
    <w:rsid w:val="006339BD"/>
    <w:rsid w:val="00636CFC"/>
    <w:rsid w:val="00641E90"/>
    <w:rsid w:val="006429DB"/>
    <w:rsid w:val="00645934"/>
    <w:rsid w:val="006473BB"/>
    <w:rsid w:val="0064747F"/>
    <w:rsid w:val="0065367E"/>
    <w:rsid w:val="00663D46"/>
    <w:rsid w:val="00666C85"/>
    <w:rsid w:val="006673FE"/>
    <w:rsid w:val="0067171D"/>
    <w:rsid w:val="006811DA"/>
    <w:rsid w:val="006814B3"/>
    <w:rsid w:val="0069070B"/>
    <w:rsid w:val="006A524A"/>
    <w:rsid w:val="006A6E73"/>
    <w:rsid w:val="006B2B0A"/>
    <w:rsid w:val="006C1DE1"/>
    <w:rsid w:val="006C4164"/>
    <w:rsid w:val="006C7005"/>
    <w:rsid w:val="006C7489"/>
    <w:rsid w:val="006D712A"/>
    <w:rsid w:val="006E0735"/>
    <w:rsid w:val="006E09C2"/>
    <w:rsid w:val="006F057F"/>
    <w:rsid w:val="006F123B"/>
    <w:rsid w:val="006F7CBA"/>
    <w:rsid w:val="00701283"/>
    <w:rsid w:val="007029B3"/>
    <w:rsid w:val="007043AB"/>
    <w:rsid w:val="00711D92"/>
    <w:rsid w:val="00740ADA"/>
    <w:rsid w:val="00740DEA"/>
    <w:rsid w:val="007451C2"/>
    <w:rsid w:val="00751C16"/>
    <w:rsid w:val="00756CAE"/>
    <w:rsid w:val="007609CE"/>
    <w:rsid w:val="00760CEE"/>
    <w:rsid w:val="00764102"/>
    <w:rsid w:val="00771C01"/>
    <w:rsid w:val="00771CD7"/>
    <w:rsid w:val="00773367"/>
    <w:rsid w:val="00774C74"/>
    <w:rsid w:val="0078788F"/>
    <w:rsid w:val="007933CF"/>
    <w:rsid w:val="00794CA5"/>
    <w:rsid w:val="007A283E"/>
    <w:rsid w:val="007A29F4"/>
    <w:rsid w:val="007B004C"/>
    <w:rsid w:val="007C3C70"/>
    <w:rsid w:val="007C44E9"/>
    <w:rsid w:val="007C45C1"/>
    <w:rsid w:val="007C7DAB"/>
    <w:rsid w:val="007E70C8"/>
    <w:rsid w:val="008029D9"/>
    <w:rsid w:val="008078BE"/>
    <w:rsid w:val="0082157B"/>
    <w:rsid w:val="00821788"/>
    <w:rsid w:val="00847A97"/>
    <w:rsid w:val="00857545"/>
    <w:rsid w:val="00873EEF"/>
    <w:rsid w:val="00876938"/>
    <w:rsid w:val="008772F2"/>
    <w:rsid w:val="00892F54"/>
    <w:rsid w:val="00893261"/>
    <w:rsid w:val="008A18EC"/>
    <w:rsid w:val="008A697D"/>
    <w:rsid w:val="008A7890"/>
    <w:rsid w:val="008B4877"/>
    <w:rsid w:val="008C1A10"/>
    <w:rsid w:val="008D3DA9"/>
    <w:rsid w:val="008D765D"/>
    <w:rsid w:val="008E1DFB"/>
    <w:rsid w:val="008E2C62"/>
    <w:rsid w:val="008E3238"/>
    <w:rsid w:val="008E4E02"/>
    <w:rsid w:val="008E64AF"/>
    <w:rsid w:val="008F0C15"/>
    <w:rsid w:val="008F23E8"/>
    <w:rsid w:val="008F7A7A"/>
    <w:rsid w:val="00912681"/>
    <w:rsid w:val="0091700E"/>
    <w:rsid w:val="00925D6D"/>
    <w:rsid w:val="009315C0"/>
    <w:rsid w:val="0093533B"/>
    <w:rsid w:val="00940492"/>
    <w:rsid w:val="0094587B"/>
    <w:rsid w:val="009465D5"/>
    <w:rsid w:val="0096443F"/>
    <w:rsid w:val="00972397"/>
    <w:rsid w:val="009756EB"/>
    <w:rsid w:val="00980100"/>
    <w:rsid w:val="00984692"/>
    <w:rsid w:val="00990CE9"/>
    <w:rsid w:val="009931DE"/>
    <w:rsid w:val="00993E4F"/>
    <w:rsid w:val="009954F0"/>
    <w:rsid w:val="009A16B2"/>
    <w:rsid w:val="009B51C6"/>
    <w:rsid w:val="009D1686"/>
    <w:rsid w:val="009D4611"/>
    <w:rsid w:val="009F5DE0"/>
    <w:rsid w:val="009F706B"/>
    <w:rsid w:val="00A0096E"/>
    <w:rsid w:val="00A04349"/>
    <w:rsid w:val="00A113F2"/>
    <w:rsid w:val="00A14AF8"/>
    <w:rsid w:val="00A301FB"/>
    <w:rsid w:val="00A41443"/>
    <w:rsid w:val="00A4220C"/>
    <w:rsid w:val="00A50054"/>
    <w:rsid w:val="00A70F3A"/>
    <w:rsid w:val="00A73D5F"/>
    <w:rsid w:val="00A819C8"/>
    <w:rsid w:val="00A83797"/>
    <w:rsid w:val="00A83A4E"/>
    <w:rsid w:val="00A903E3"/>
    <w:rsid w:val="00A92EF1"/>
    <w:rsid w:val="00A95226"/>
    <w:rsid w:val="00AB328E"/>
    <w:rsid w:val="00AC0665"/>
    <w:rsid w:val="00AC26A2"/>
    <w:rsid w:val="00AC28A5"/>
    <w:rsid w:val="00AD6912"/>
    <w:rsid w:val="00AE2B40"/>
    <w:rsid w:val="00B045CD"/>
    <w:rsid w:val="00B07FF1"/>
    <w:rsid w:val="00B10477"/>
    <w:rsid w:val="00B10A60"/>
    <w:rsid w:val="00B14B87"/>
    <w:rsid w:val="00B16D7F"/>
    <w:rsid w:val="00B3026A"/>
    <w:rsid w:val="00B3219E"/>
    <w:rsid w:val="00B35793"/>
    <w:rsid w:val="00B42989"/>
    <w:rsid w:val="00B435B5"/>
    <w:rsid w:val="00B449DF"/>
    <w:rsid w:val="00B557EC"/>
    <w:rsid w:val="00B559B7"/>
    <w:rsid w:val="00B55F56"/>
    <w:rsid w:val="00B659EB"/>
    <w:rsid w:val="00B70B3D"/>
    <w:rsid w:val="00B93635"/>
    <w:rsid w:val="00BA2057"/>
    <w:rsid w:val="00BA602E"/>
    <w:rsid w:val="00BC5894"/>
    <w:rsid w:val="00BD4745"/>
    <w:rsid w:val="00BD4C74"/>
    <w:rsid w:val="00BD74CB"/>
    <w:rsid w:val="00BF4400"/>
    <w:rsid w:val="00BF5C56"/>
    <w:rsid w:val="00BF7812"/>
    <w:rsid w:val="00BF7BF6"/>
    <w:rsid w:val="00C03F4F"/>
    <w:rsid w:val="00C12975"/>
    <w:rsid w:val="00C16F80"/>
    <w:rsid w:val="00C2359D"/>
    <w:rsid w:val="00C3195F"/>
    <w:rsid w:val="00C350D8"/>
    <w:rsid w:val="00C42A65"/>
    <w:rsid w:val="00C432B1"/>
    <w:rsid w:val="00C465F3"/>
    <w:rsid w:val="00C47B08"/>
    <w:rsid w:val="00C51BC9"/>
    <w:rsid w:val="00C54647"/>
    <w:rsid w:val="00C8386E"/>
    <w:rsid w:val="00C871FB"/>
    <w:rsid w:val="00C9458B"/>
    <w:rsid w:val="00CB4B15"/>
    <w:rsid w:val="00CB7B5A"/>
    <w:rsid w:val="00CC2301"/>
    <w:rsid w:val="00CD37B1"/>
    <w:rsid w:val="00CE5F0E"/>
    <w:rsid w:val="00CE6AD4"/>
    <w:rsid w:val="00CF6133"/>
    <w:rsid w:val="00D0088D"/>
    <w:rsid w:val="00D077C6"/>
    <w:rsid w:val="00D142B2"/>
    <w:rsid w:val="00D164C8"/>
    <w:rsid w:val="00D174A5"/>
    <w:rsid w:val="00D24F2D"/>
    <w:rsid w:val="00D25771"/>
    <w:rsid w:val="00D33F3E"/>
    <w:rsid w:val="00D45A0C"/>
    <w:rsid w:val="00D53680"/>
    <w:rsid w:val="00D54664"/>
    <w:rsid w:val="00D571AE"/>
    <w:rsid w:val="00D61DBC"/>
    <w:rsid w:val="00D62711"/>
    <w:rsid w:val="00D71821"/>
    <w:rsid w:val="00D729DD"/>
    <w:rsid w:val="00D73B0A"/>
    <w:rsid w:val="00D808DF"/>
    <w:rsid w:val="00D80BBC"/>
    <w:rsid w:val="00D8703F"/>
    <w:rsid w:val="00D903B5"/>
    <w:rsid w:val="00DA0534"/>
    <w:rsid w:val="00DD0D75"/>
    <w:rsid w:val="00DD281B"/>
    <w:rsid w:val="00DD43B5"/>
    <w:rsid w:val="00DE0939"/>
    <w:rsid w:val="00DE564A"/>
    <w:rsid w:val="00DE62A3"/>
    <w:rsid w:val="00DE7014"/>
    <w:rsid w:val="00DF2B45"/>
    <w:rsid w:val="00E13BEF"/>
    <w:rsid w:val="00E14E18"/>
    <w:rsid w:val="00E211CD"/>
    <w:rsid w:val="00E248C0"/>
    <w:rsid w:val="00E35B7E"/>
    <w:rsid w:val="00E36FB2"/>
    <w:rsid w:val="00E535D9"/>
    <w:rsid w:val="00E5701C"/>
    <w:rsid w:val="00E6223F"/>
    <w:rsid w:val="00E729F2"/>
    <w:rsid w:val="00E74438"/>
    <w:rsid w:val="00E76095"/>
    <w:rsid w:val="00E85DFD"/>
    <w:rsid w:val="00E92DB4"/>
    <w:rsid w:val="00EB68E8"/>
    <w:rsid w:val="00EB7F87"/>
    <w:rsid w:val="00EC1B60"/>
    <w:rsid w:val="00EC2962"/>
    <w:rsid w:val="00EC30EE"/>
    <w:rsid w:val="00EC4119"/>
    <w:rsid w:val="00ED2189"/>
    <w:rsid w:val="00ED3CF0"/>
    <w:rsid w:val="00ED6448"/>
    <w:rsid w:val="00EE7E8A"/>
    <w:rsid w:val="00EF00C4"/>
    <w:rsid w:val="00EF23AC"/>
    <w:rsid w:val="00EF37BB"/>
    <w:rsid w:val="00F02729"/>
    <w:rsid w:val="00F32DBE"/>
    <w:rsid w:val="00F36237"/>
    <w:rsid w:val="00F45A8D"/>
    <w:rsid w:val="00F47F3B"/>
    <w:rsid w:val="00F526F5"/>
    <w:rsid w:val="00F55514"/>
    <w:rsid w:val="00F81FB4"/>
    <w:rsid w:val="00F8629C"/>
    <w:rsid w:val="00F94BBA"/>
    <w:rsid w:val="00FB4FD3"/>
    <w:rsid w:val="00FB6F49"/>
    <w:rsid w:val="00FC3E2A"/>
    <w:rsid w:val="00FD251E"/>
    <w:rsid w:val="00FE0A64"/>
    <w:rsid w:val="00FF17C2"/>
    <w:rsid w:val="00FF585B"/>
    <w:rsid w:val="00FF6F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85DFD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E85DFD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18342C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18342C"/>
  </w:style>
  <w:style w:type="paragraph" w:styleId="a7">
    <w:name w:val="footer"/>
    <w:basedOn w:val="a"/>
    <w:link w:val="a8"/>
    <w:uiPriority w:val="99"/>
    <w:unhideWhenUsed/>
    <w:rsid w:val="0018342C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18342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85DFD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E85DFD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18342C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18342C"/>
  </w:style>
  <w:style w:type="paragraph" w:styleId="a7">
    <w:name w:val="footer"/>
    <w:basedOn w:val="a"/>
    <w:link w:val="a8"/>
    <w:uiPriority w:val="99"/>
    <w:unhideWhenUsed/>
    <w:rsid w:val="0018342C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18342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chart" Target="charts/chart3.xml"/><Relationship Id="rId4" Type="http://schemas.openxmlformats.org/officeDocument/2006/relationships/settings" Target="settings.xml"/><Relationship Id="rId9" Type="http://schemas.openxmlformats.org/officeDocument/2006/relationships/chart" Target="charts/chart2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1.xml"/><Relationship Id="rId1" Type="http://schemas.openxmlformats.org/officeDocument/2006/relationships/package" Target="../embeddings/Microsoft_Excel_Worksheet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2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3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ja-JP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7.883746467695367E-2"/>
          <c:y val="0.1127887879191522"/>
          <c:w val="0.88490457680336376"/>
          <c:h val="0.67043744779360093"/>
        </c:manualLayout>
      </c:layout>
      <c:lineChart>
        <c:grouping val="standard"/>
        <c:varyColors val="0"/>
        <c:ser>
          <c:idx val="0"/>
          <c:order val="0"/>
          <c:tx>
            <c:strRef>
              <c:f>チャート!$E$35</c:f>
              <c:strCache>
                <c:ptCount val="1"/>
                <c:pt idx="0">
                  <c:v>９月限</c:v>
                </c:pt>
              </c:strCache>
            </c:strRef>
          </c:tx>
          <c:spPr>
            <a:ln w="12700">
              <a:solidFill>
                <a:schemeClr val="tx1"/>
              </a:solidFill>
            </a:ln>
          </c:spPr>
          <c:marker>
            <c:symbol val="diamond"/>
            <c:size val="6"/>
            <c:spPr>
              <a:solidFill>
                <a:schemeClr val="tx1"/>
              </a:solidFill>
              <a:ln>
                <a:solidFill>
                  <a:schemeClr val="tx1"/>
                </a:solidFill>
              </a:ln>
            </c:spPr>
          </c:marker>
          <c:cat>
            <c:numRef>
              <c:f>チャート!$A$324:$A$348</c:f>
              <c:numCache>
                <c:formatCode>m"月"d"日"</c:formatCode>
                <c:ptCount val="25"/>
                <c:pt idx="0">
                  <c:v>42447</c:v>
                </c:pt>
                <c:pt idx="1">
                  <c:v>42453</c:v>
                </c:pt>
                <c:pt idx="2">
                  <c:v>42461</c:v>
                </c:pt>
                <c:pt idx="3">
                  <c:v>42468</c:v>
                </c:pt>
                <c:pt idx="4">
                  <c:v>42475</c:v>
                </c:pt>
                <c:pt idx="5">
                  <c:v>42482</c:v>
                </c:pt>
                <c:pt idx="6">
                  <c:v>42489</c:v>
                </c:pt>
                <c:pt idx="7">
                  <c:v>42496</c:v>
                </c:pt>
                <c:pt idx="8">
                  <c:v>42503</c:v>
                </c:pt>
                <c:pt idx="9">
                  <c:v>42510</c:v>
                </c:pt>
                <c:pt idx="10">
                  <c:v>42517</c:v>
                </c:pt>
                <c:pt idx="11">
                  <c:v>42524</c:v>
                </c:pt>
                <c:pt idx="12">
                  <c:v>42531</c:v>
                </c:pt>
                <c:pt idx="13">
                  <c:v>42538</c:v>
                </c:pt>
                <c:pt idx="14">
                  <c:v>42545</c:v>
                </c:pt>
                <c:pt idx="15">
                  <c:v>42552</c:v>
                </c:pt>
                <c:pt idx="16">
                  <c:v>42559</c:v>
                </c:pt>
                <c:pt idx="17">
                  <c:v>42566</c:v>
                </c:pt>
                <c:pt idx="18">
                  <c:v>42573</c:v>
                </c:pt>
                <c:pt idx="19">
                  <c:v>42580</c:v>
                </c:pt>
                <c:pt idx="20">
                  <c:v>42587</c:v>
                </c:pt>
                <c:pt idx="21">
                  <c:v>42594</c:v>
                </c:pt>
                <c:pt idx="22">
                  <c:v>42601</c:v>
                </c:pt>
                <c:pt idx="23">
                  <c:v>42608</c:v>
                </c:pt>
                <c:pt idx="24">
                  <c:v>42615</c:v>
                </c:pt>
              </c:numCache>
            </c:numRef>
          </c:cat>
          <c:val>
            <c:numRef>
              <c:f>チャート!$F$322:$F$348</c:f>
              <c:numCache>
                <c:formatCode>General</c:formatCode>
                <c:ptCount val="27"/>
                <c:pt idx="4">
                  <c:v>369.75</c:v>
                </c:pt>
                <c:pt idx="5">
                  <c:v>375</c:v>
                </c:pt>
                <c:pt idx="6">
                  <c:v>388.25</c:v>
                </c:pt>
                <c:pt idx="7">
                  <c:v>381</c:v>
                </c:pt>
                <c:pt idx="8">
                  <c:v>395.25</c:v>
                </c:pt>
                <c:pt idx="9">
                  <c:v>384.75</c:v>
                </c:pt>
                <c:pt idx="10">
                  <c:v>398.25</c:v>
                </c:pt>
                <c:pt idx="11">
                  <c:v>399.75</c:v>
                </c:pt>
                <c:pt idx="12">
                  <c:v>413.5</c:v>
                </c:pt>
                <c:pt idx="13">
                  <c:v>419.75</c:v>
                </c:pt>
                <c:pt idx="14">
                  <c:v>430.75</c:v>
                </c:pt>
                <c:pt idx="15">
                  <c:v>448.75</c:v>
                </c:pt>
                <c:pt idx="16">
                  <c:v>394.25</c:v>
                </c:pt>
                <c:pt idx="17">
                  <c:v>367</c:v>
                </c:pt>
                <c:pt idx="18">
                  <c:v>362.5</c:v>
                </c:pt>
                <c:pt idx="19">
                  <c:v>358.25</c:v>
                </c:pt>
                <c:pt idx="20">
                  <c:v>341.75</c:v>
                </c:pt>
                <c:pt idx="21">
                  <c:v>342.75</c:v>
                </c:pt>
                <c:pt idx="22">
                  <c:v>334.25</c:v>
                </c:pt>
                <c:pt idx="23">
                  <c:v>333</c:v>
                </c:pt>
                <c:pt idx="24">
                  <c:v>343.75</c:v>
                </c:pt>
                <c:pt idx="25">
                  <c:v>325</c:v>
                </c:pt>
                <c:pt idx="26">
                  <c:v>328.5</c:v>
                </c:pt>
              </c:numCache>
            </c:numRef>
          </c:val>
          <c:smooth val="0"/>
        </c:ser>
        <c:ser>
          <c:idx val="2"/>
          <c:order val="1"/>
          <c:tx>
            <c:strRef>
              <c:f>チャート!$F$35</c:f>
              <c:strCache>
                <c:ptCount val="1"/>
                <c:pt idx="0">
                  <c:v>１２月限</c:v>
                </c:pt>
              </c:strCache>
            </c:strRef>
          </c:tx>
          <c:spPr>
            <a:ln w="12700">
              <a:solidFill>
                <a:schemeClr val="tx1"/>
              </a:solidFill>
            </a:ln>
          </c:spPr>
          <c:marker>
            <c:symbol val="square"/>
            <c:size val="4"/>
            <c:spPr>
              <a:solidFill>
                <a:schemeClr val="tx1"/>
              </a:solidFill>
              <a:ln w="12700">
                <a:solidFill>
                  <a:schemeClr val="tx1"/>
                </a:solidFill>
              </a:ln>
            </c:spPr>
          </c:marker>
          <c:cat>
            <c:numRef>
              <c:f>チャート!$A$324:$A$348</c:f>
              <c:numCache>
                <c:formatCode>m"月"d"日"</c:formatCode>
                <c:ptCount val="25"/>
                <c:pt idx="0">
                  <c:v>42447</c:v>
                </c:pt>
                <c:pt idx="1">
                  <c:v>42453</c:v>
                </c:pt>
                <c:pt idx="2">
                  <c:v>42461</c:v>
                </c:pt>
                <c:pt idx="3">
                  <c:v>42468</c:v>
                </c:pt>
                <c:pt idx="4">
                  <c:v>42475</c:v>
                </c:pt>
                <c:pt idx="5">
                  <c:v>42482</c:v>
                </c:pt>
                <c:pt idx="6">
                  <c:v>42489</c:v>
                </c:pt>
                <c:pt idx="7">
                  <c:v>42496</c:v>
                </c:pt>
                <c:pt idx="8">
                  <c:v>42503</c:v>
                </c:pt>
                <c:pt idx="9">
                  <c:v>42510</c:v>
                </c:pt>
                <c:pt idx="10">
                  <c:v>42517</c:v>
                </c:pt>
                <c:pt idx="11">
                  <c:v>42524</c:v>
                </c:pt>
                <c:pt idx="12">
                  <c:v>42531</c:v>
                </c:pt>
                <c:pt idx="13">
                  <c:v>42538</c:v>
                </c:pt>
                <c:pt idx="14">
                  <c:v>42545</c:v>
                </c:pt>
                <c:pt idx="15">
                  <c:v>42552</c:v>
                </c:pt>
                <c:pt idx="16">
                  <c:v>42559</c:v>
                </c:pt>
                <c:pt idx="17">
                  <c:v>42566</c:v>
                </c:pt>
                <c:pt idx="18">
                  <c:v>42573</c:v>
                </c:pt>
                <c:pt idx="19">
                  <c:v>42580</c:v>
                </c:pt>
                <c:pt idx="20">
                  <c:v>42587</c:v>
                </c:pt>
                <c:pt idx="21">
                  <c:v>42594</c:v>
                </c:pt>
                <c:pt idx="22">
                  <c:v>42601</c:v>
                </c:pt>
                <c:pt idx="23">
                  <c:v>42608</c:v>
                </c:pt>
                <c:pt idx="24">
                  <c:v>42615</c:v>
                </c:pt>
              </c:numCache>
            </c:numRef>
          </c:cat>
          <c:val>
            <c:numRef>
              <c:f>チャート!$E$324:$E$348</c:f>
              <c:numCache>
                <c:formatCode>General</c:formatCode>
                <c:ptCount val="25"/>
                <c:pt idx="0">
                  <c:v>376.75</c:v>
                </c:pt>
                <c:pt idx="1">
                  <c:v>379.25</c:v>
                </c:pt>
                <c:pt idx="2">
                  <c:v>361.75</c:v>
                </c:pt>
                <c:pt idx="3">
                  <c:v>368</c:v>
                </c:pt>
                <c:pt idx="4">
                  <c:v>382.25</c:v>
                </c:pt>
                <c:pt idx="5">
                  <c:v>375.5</c:v>
                </c:pt>
                <c:pt idx="6">
                  <c:v>391.75</c:v>
                </c:pt>
                <c:pt idx="7">
                  <c:v>379.5</c:v>
                </c:pt>
                <c:pt idx="8">
                  <c:v>393.25</c:v>
                </c:pt>
                <c:pt idx="9">
                  <c:v>396.75</c:v>
                </c:pt>
                <c:pt idx="10">
                  <c:v>414.25</c:v>
                </c:pt>
                <c:pt idx="11">
                  <c:v>419.75</c:v>
                </c:pt>
                <c:pt idx="12">
                  <c:v>427.5</c:v>
                </c:pt>
                <c:pt idx="13">
                  <c:v>442.75</c:v>
                </c:pt>
                <c:pt idx="14">
                  <c:v>389</c:v>
                </c:pt>
                <c:pt idx="15">
                  <c:v>360</c:v>
                </c:pt>
                <c:pt idx="16">
                  <c:v>355</c:v>
                </c:pt>
                <c:pt idx="17">
                  <c:v>352.25</c:v>
                </c:pt>
                <c:pt idx="18">
                  <c:v>335</c:v>
                </c:pt>
                <c:pt idx="19">
                  <c:v>334.5</c:v>
                </c:pt>
                <c:pt idx="20">
                  <c:v>324.25</c:v>
                </c:pt>
                <c:pt idx="21">
                  <c:v>322.25</c:v>
                </c:pt>
                <c:pt idx="22">
                  <c:v>334.25</c:v>
                </c:pt>
                <c:pt idx="23">
                  <c:v>316.25</c:v>
                </c:pt>
                <c:pt idx="24">
                  <c:v>316.5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36519936"/>
        <c:axId val="36521856"/>
      </c:lineChart>
      <c:dateAx>
        <c:axId val="36519936"/>
        <c:scaling>
          <c:orientation val="minMax"/>
        </c:scaling>
        <c:delete val="0"/>
        <c:axPos val="b"/>
        <c:numFmt formatCode="m&quot;月&quot;d&quot;日&quot;;@" sourceLinked="0"/>
        <c:majorTickMark val="in"/>
        <c:minorTickMark val="none"/>
        <c:tickLblPos val="nextTo"/>
        <c:spPr>
          <a:ln>
            <a:solidFill>
              <a:schemeClr val="tx1"/>
            </a:solidFill>
          </a:ln>
        </c:spPr>
        <c:txPr>
          <a:bodyPr rot="-2700000" vert="horz"/>
          <a:lstStyle/>
          <a:p>
            <a:pPr>
              <a:defRPr sz="1200">
                <a:solidFill>
                  <a:sysClr val="windowText" lastClr="000000"/>
                </a:solidFill>
              </a:defRPr>
            </a:pPr>
            <a:endParaRPr lang="ja-JP"/>
          </a:p>
        </c:txPr>
        <c:crossAx val="36521856"/>
        <c:crosses val="autoZero"/>
        <c:auto val="0"/>
        <c:lblOffset val="100"/>
        <c:baseTimeUnit val="days"/>
        <c:majorUnit val="14"/>
        <c:majorTimeUnit val="days"/>
        <c:minorUnit val="1"/>
        <c:minorTimeUnit val="months"/>
      </c:dateAx>
      <c:valAx>
        <c:axId val="36521856"/>
        <c:scaling>
          <c:orientation val="minMax"/>
          <c:max val="460"/>
          <c:min val="310"/>
        </c:scaling>
        <c:delete val="0"/>
        <c:axPos val="l"/>
        <c:majorGridlines>
          <c:spPr>
            <a:ln>
              <a:solidFill>
                <a:schemeClr val="tx1"/>
              </a:solidFill>
              <a:prstDash val="sysDash"/>
            </a:ln>
          </c:spPr>
        </c:majorGridlines>
        <c:numFmt formatCode="General" sourceLinked="1"/>
        <c:majorTickMark val="none"/>
        <c:minorTickMark val="none"/>
        <c:tickLblPos val="nextTo"/>
        <c:spPr>
          <a:ln>
            <a:solidFill>
              <a:schemeClr val="tx1"/>
            </a:solidFill>
          </a:ln>
        </c:spPr>
        <c:txPr>
          <a:bodyPr/>
          <a:lstStyle/>
          <a:p>
            <a:pPr>
              <a:defRPr sz="1200"/>
            </a:pPr>
            <a:endParaRPr lang="ja-JP"/>
          </a:p>
        </c:txPr>
        <c:crossAx val="36519936"/>
        <c:crosses val="autoZero"/>
        <c:crossBetween val="between"/>
        <c:majorUnit val="30"/>
        <c:minorUnit val="20"/>
      </c:valAx>
      <c:spPr>
        <a:ln>
          <a:solidFill>
            <a:schemeClr val="tx1"/>
          </a:solidFill>
        </a:ln>
      </c:spPr>
    </c:plotArea>
    <c:legend>
      <c:legendPos val="r"/>
      <c:layout>
        <c:manualLayout>
          <c:xMode val="edge"/>
          <c:yMode val="edge"/>
          <c:x val="0.76239881898721751"/>
          <c:y val="0.17767977728512091"/>
          <c:w val="0.1591324421310957"/>
          <c:h val="0.1469728647793084"/>
        </c:manualLayout>
      </c:layout>
      <c:overlay val="0"/>
      <c:spPr>
        <a:solidFill>
          <a:schemeClr val="bg1"/>
        </a:solidFill>
        <a:ln>
          <a:solidFill>
            <a:schemeClr val="tx1"/>
          </a:solidFill>
        </a:ln>
      </c:spPr>
      <c:txPr>
        <a:bodyPr/>
        <a:lstStyle/>
        <a:p>
          <a:pPr>
            <a:defRPr sz="1000"/>
          </a:pPr>
          <a:endParaRPr lang="ja-JP"/>
        </a:p>
      </c:txPr>
    </c:legend>
    <c:plotVisOnly val="1"/>
    <c:dispBlanksAs val="gap"/>
    <c:showDLblsOverMax val="0"/>
  </c:chart>
  <c:spPr>
    <a:ln>
      <a:noFill/>
    </a:ln>
  </c:spPr>
  <c:txPr>
    <a:bodyPr/>
    <a:lstStyle/>
    <a:p>
      <a:pPr>
        <a:defRPr>
          <a:latin typeface="ＭＳ Ｐ明朝" pitchFamily="18" charset="-128"/>
          <a:ea typeface="ＭＳ Ｐ明朝" pitchFamily="18" charset="-128"/>
        </a:defRPr>
      </a:pPr>
      <a:endParaRPr lang="ja-JP"/>
    </a:p>
  </c:txPr>
  <c:externalData r:id="rId1">
    <c:autoUpdate val="0"/>
  </c:externalData>
  <c:userShapes r:id="rId2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ja-JP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600" b="0" i="0" u="none" strike="noStrike" baseline="0">
                <a:solidFill>
                  <a:srgbClr val="000000"/>
                </a:solidFill>
                <a:latin typeface="ＭＳ Ｐ明朝"/>
                <a:ea typeface="ＭＳ Ｐ明朝"/>
                <a:cs typeface="ＭＳ Ｐ明朝"/>
              </a:defRPr>
            </a:pPr>
            <a:r>
              <a:rPr lang="ja-JP" altLang="en-US" sz="1600"/>
              <a:t>大豆粕シカゴ定期の推移</a:t>
            </a:r>
          </a:p>
        </c:rich>
      </c:tx>
      <c:layout>
        <c:manualLayout>
          <c:xMode val="edge"/>
          <c:yMode val="edge"/>
          <c:x val="0.30435311778848062"/>
          <c:y val="1.9099274424290542E-3"/>
        </c:manualLayout>
      </c:layout>
      <c:overlay val="0"/>
      <c:spPr>
        <a:noFill/>
        <a:ln w="25400">
          <a:noFill/>
        </a:ln>
      </c:spPr>
    </c:title>
    <c:autoTitleDeleted val="0"/>
    <c:plotArea>
      <c:layout>
        <c:manualLayout>
          <c:layoutTarget val="inner"/>
          <c:xMode val="edge"/>
          <c:yMode val="edge"/>
          <c:x val="6.7830150847062565E-2"/>
          <c:y val="0.10204305290356301"/>
          <c:w val="0.90788490970196178"/>
          <c:h val="0.67942707119774548"/>
        </c:manualLayout>
      </c:layout>
      <c:lineChart>
        <c:grouping val="standard"/>
        <c:varyColors val="0"/>
        <c:ser>
          <c:idx val="1"/>
          <c:order val="0"/>
          <c:spPr>
            <a:ln w="12700">
              <a:solidFill>
                <a:schemeClr val="tx1"/>
              </a:solidFill>
              <a:prstDash val="solid"/>
            </a:ln>
          </c:spPr>
          <c:marker>
            <c:symbol val="diamond"/>
            <c:size val="6"/>
            <c:spPr>
              <a:solidFill>
                <a:schemeClr val="tx1"/>
              </a:solidFill>
              <a:ln>
                <a:solidFill>
                  <a:schemeClr val="tx1"/>
                </a:solidFill>
                <a:prstDash val="solid"/>
              </a:ln>
            </c:spPr>
          </c:marker>
          <c:cat>
            <c:numRef>
              <c:f>チャート!$AD$324:$AD$348</c:f>
              <c:numCache>
                <c:formatCode>m"月"d"日"</c:formatCode>
                <c:ptCount val="25"/>
                <c:pt idx="0">
                  <c:v>42447</c:v>
                </c:pt>
                <c:pt idx="1">
                  <c:v>42453</c:v>
                </c:pt>
                <c:pt idx="2">
                  <c:v>42461</c:v>
                </c:pt>
                <c:pt idx="3">
                  <c:v>42468</c:v>
                </c:pt>
                <c:pt idx="4">
                  <c:v>42475</c:v>
                </c:pt>
                <c:pt idx="5">
                  <c:v>42482</c:v>
                </c:pt>
                <c:pt idx="6">
                  <c:v>42489</c:v>
                </c:pt>
                <c:pt idx="7">
                  <c:v>42496</c:v>
                </c:pt>
                <c:pt idx="8">
                  <c:v>42503</c:v>
                </c:pt>
                <c:pt idx="9">
                  <c:v>42510</c:v>
                </c:pt>
                <c:pt idx="10">
                  <c:v>42517</c:v>
                </c:pt>
                <c:pt idx="11">
                  <c:v>42524</c:v>
                </c:pt>
                <c:pt idx="12">
                  <c:v>42531</c:v>
                </c:pt>
                <c:pt idx="13">
                  <c:v>42538</c:v>
                </c:pt>
                <c:pt idx="14">
                  <c:v>42545</c:v>
                </c:pt>
                <c:pt idx="15">
                  <c:v>42552</c:v>
                </c:pt>
                <c:pt idx="16">
                  <c:v>42559</c:v>
                </c:pt>
                <c:pt idx="17">
                  <c:v>42566</c:v>
                </c:pt>
                <c:pt idx="18">
                  <c:v>42573</c:v>
                </c:pt>
                <c:pt idx="19">
                  <c:v>42580</c:v>
                </c:pt>
                <c:pt idx="20">
                  <c:v>42587</c:v>
                </c:pt>
                <c:pt idx="21">
                  <c:v>42594</c:v>
                </c:pt>
                <c:pt idx="22">
                  <c:v>42601</c:v>
                </c:pt>
                <c:pt idx="23">
                  <c:v>42608</c:v>
                </c:pt>
                <c:pt idx="24">
                  <c:v>42615</c:v>
                </c:pt>
              </c:numCache>
            </c:numRef>
          </c:cat>
          <c:val>
            <c:numRef>
              <c:f>チャート!$AE$324:$AE$348</c:f>
              <c:numCache>
                <c:formatCode>#,##0.00_);[Red]\(#,##0.00\)</c:formatCode>
                <c:ptCount val="25"/>
                <c:pt idx="0">
                  <c:v>293.87318000000005</c:v>
                </c:pt>
                <c:pt idx="1">
                  <c:v>303.46319000000005</c:v>
                </c:pt>
                <c:pt idx="2">
                  <c:v>300.15629000000001</c:v>
                </c:pt>
                <c:pt idx="3">
                  <c:v>301.69950999999998</c:v>
                </c:pt>
                <c:pt idx="4">
                  <c:v>326.17057</c:v>
                </c:pt>
                <c:pt idx="5">
                  <c:v>343.58690999999999</c:v>
                </c:pt>
                <c:pt idx="6">
                  <c:v>366.07383000000004</c:v>
                </c:pt>
                <c:pt idx="7">
                  <c:v>376.10476</c:v>
                </c:pt>
                <c:pt idx="8">
                  <c:v>397.93030000000005</c:v>
                </c:pt>
                <c:pt idx="9">
                  <c:v>432.87321000000003</c:v>
                </c:pt>
                <c:pt idx="10">
                  <c:v>443.78598000000005</c:v>
                </c:pt>
                <c:pt idx="11">
                  <c:v>456.68289000000004</c:v>
                </c:pt>
                <c:pt idx="12">
                  <c:v>456.35220000000004</c:v>
                </c:pt>
                <c:pt idx="13">
                  <c:v>449.07702</c:v>
                </c:pt>
                <c:pt idx="14">
                  <c:v>414.02388000000002</c:v>
                </c:pt>
                <c:pt idx="15">
                  <c:v>446.21104000000003</c:v>
                </c:pt>
                <c:pt idx="16">
                  <c:v>417.44101000000001</c:v>
                </c:pt>
                <c:pt idx="17">
                  <c:v>407.18961999999999</c:v>
                </c:pt>
                <c:pt idx="18">
                  <c:v>382.16741000000002</c:v>
                </c:pt>
                <c:pt idx="19">
                  <c:v>385.80500000000001</c:v>
                </c:pt>
                <c:pt idx="20">
                  <c:v>370.15234000000004</c:v>
                </c:pt>
                <c:pt idx="21">
                  <c:v>366.95567</c:v>
                </c:pt>
                <c:pt idx="22">
                  <c:v>363.75900000000001</c:v>
                </c:pt>
                <c:pt idx="23">
                  <c:v>354.05876000000001</c:v>
                </c:pt>
                <c:pt idx="24">
                  <c:v>345.79151000000002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36387456"/>
        <c:axId val="36393728"/>
      </c:lineChart>
      <c:catAx>
        <c:axId val="36387456"/>
        <c:scaling>
          <c:orientation val="minMax"/>
        </c:scaling>
        <c:delete val="0"/>
        <c:axPos val="b"/>
        <c:numFmt formatCode="m&quot;月&quot;d&quot;日&quot;;@" sourceLinked="0"/>
        <c:majorTickMark val="in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-2700000" vert="horz"/>
          <a:lstStyle/>
          <a:p>
            <a:pPr>
              <a:defRPr sz="1200" b="0" i="0" u="none" strike="noStrike" baseline="0">
                <a:solidFill>
                  <a:srgbClr val="000000"/>
                </a:solidFill>
                <a:latin typeface="ＭＳ Ｐ明朝"/>
                <a:ea typeface="ＭＳ Ｐ明朝"/>
                <a:cs typeface="ＭＳ Ｐ明朝"/>
              </a:defRPr>
            </a:pPr>
            <a:endParaRPr lang="ja-JP"/>
          </a:p>
        </c:txPr>
        <c:crossAx val="36393728"/>
        <c:crosses val="autoZero"/>
        <c:auto val="0"/>
        <c:lblAlgn val="ctr"/>
        <c:lblOffset val="100"/>
        <c:tickLblSkip val="2"/>
        <c:tickMarkSkip val="2"/>
        <c:noMultiLvlLbl val="0"/>
      </c:catAx>
      <c:valAx>
        <c:axId val="36393728"/>
        <c:scaling>
          <c:orientation val="minMax"/>
          <c:max val="460"/>
          <c:min val="280"/>
        </c:scaling>
        <c:delete val="0"/>
        <c:axPos val="l"/>
        <c:majorGridlines>
          <c:spPr>
            <a:ln w="9525">
              <a:solidFill>
                <a:srgbClr val="000000"/>
              </a:solidFill>
              <a:prstDash val="sysDash"/>
            </a:ln>
          </c:spPr>
        </c:majorGridlines>
        <c:title>
          <c:tx>
            <c:rich>
              <a:bodyPr rot="0" vert="horz"/>
              <a:lstStyle/>
              <a:p>
                <a:pPr algn="ctr">
                  <a:defRPr sz="1000" b="0" i="0" u="none" strike="noStrike" baseline="0">
                    <a:solidFill>
                      <a:srgbClr val="000000"/>
                    </a:solidFill>
                    <a:latin typeface="ＭＳ Ｐゴシック"/>
                    <a:ea typeface="ＭＳ Ｐゴシック"/>
                    <a:cs typeface="ＭＳ Ｐゴシック"/>
                  </a:defRPr>
                </a:pPr>
                <a:r>
                  <a:rPr lang="ja-JP" altLang="en-US" sz="1000" b="0" i="0" u="none" strike="noStrike" baseline="0">
                    <a:solidFill>
                      <a:srgbClr val="000000"/>
                    </a:solidFill>
                    <a:latin typeface="ＭＳ Ｐ明朝"/>
                    <a:ea typeface="ＭＳ Ｐ明朝"/>
                  </a:rPr>
                  <a:t>ドル/トン</a:t>
                </a:r>
              </a:p>
            </c:rich>
          </c:tx>
          <c:layout>
            <c:manualLayout>
              <c:xMode val="edge"/>
              <c:yMode val="edge"/>
              <c:x val="4.7914995322189957E-3"/>
              <c:y val="1.1042149143121814E-2"/>
            </c:manualLayout>
          </c:layout>
          <c:overlay val="0"/>
          <c:spPr>
            <a:noFill/>
            <a:ln w="25400">
              <a:noFill/>
            </a:ln>
          </c:spPr>
        </c:title>
        <c:numFmt formatCode="0" sourceLinked="0"/>
        <c:majorTickMark val="in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200" b="0" i="0" u="none" strike="noStrike" baseline="0">
                <a:solidFill>
                  <a:srgbClr val="000000"/>
                </a:solidFill>
                <a:latin typeface="ＭＳ Ｐ明朝"/>
                <a:ea typeface="ＭＳ Ｐ明朝"/>
                <a:cs typeface="ＭＳ Ｐ明朝"/>
              </a:defRPr>
            </a:pPr>
            <a:endParaRPr lang="ja-JP"/>
          </a:p>
        </c:txPr>
        <c:crossAx val="36387456"/>
        <c:crosses val="autoZero"/>
        <c:crossBetween val="between"/>
        <c:majorUnit val="30"/>
        <c:minorUnit val="20"/>
      </c:valAx>
      <c:spPr>
        <a:solidFill>
          <a:srgbClr val="FFFFFF"/>
        </a:solidFill>
        <a:ln w="9525">
          <a:solidFill>
            <a:schemeClr val="tx1"/>
          </a:solidFill>
          <a:prstDash val="solid"/>
        </a:ln>
      </c:spPr>
    </c:plotArea>
    <c:plotVisOnly val="1"/>
    <c:dispBlanksAs val="gap"/>
    <c:showDLblsOverMax val="0"/>
  </c:chart>
  <c:spPr>
    <a:solidFill>
      <a:srgbClr val="FFFFFF"/>
    </a:solidFill>
    <a:ln w="9525">
      <a:noFill/>
    </a:ln>
  </c:spPr>
  <c:txPr>
    <a:bodyPr/>
    <a:lstStyle/>
    <a:p>
      <a:pPr>
        <a:defRPr sz="1200" b="0" i="0" u="none" strike="noStrike" baseline="0">
          <a:solidFill>
            <a:srgbClr val="000000"/>
          </a:solidFill>
          <a:latin typeface="ＭＳ Ｐゴシック"/>
          <a:ea typeface="ＭＳ Ｐゴシック"/>
          <a:cs typeface="ＭＳ Ｐゴシック"/>
        </a:defRPr>
      </a:pPr>
      <a:endParaRPr lang="ja-JP"/>
    </a:p>
  </c:tx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ja-JP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 algn="ctr">
              <a:defRPr sz="1600" b="0" i="0" u="none" strike="noStrike" baseline="0">
                <a:solidFill>
                  <a:srgbClr val="000000"/>
                </a:solidFill>
                <a:latin typeface="ＭＳ Ｐ明朝"/>
                <a:ea typeface="ＭＳ Ｐ明朝"/>
                <a:cs typeface="ＭＳ Ｐ明朝"/>
              </a:defRPr>
            </a:pPr>
            <a:r>
              <a:rPr lang="ja-JP" altLang="en-US" sz="1600"/>
              <a:t>ドル円為替相場（東京市場対顧客電信相場</a:t>
            </a:r>
            <a:r>
              <a:rPr lang="en-US" altLang="ja-JP" sz="1600"/>
              <a:t>)</a:t>
            </a:r>
          </a:p>
        </c:rich>
      </c:tx>
      <c:layout>
        <c:manualLayout>
          <c:xMode val="edge"/>
          <c:yMode val="edge"/>
          <c:x val="0.17130392223262997"/>
          <c:y val="2.5227728886830322E-4"/>
        </c:manualLayout>
      </c:layout>
      <c:overlay val="0"/>
      <c:spPr>
        <a:noFill/>
        <a:ln w="25400">
          <a:noFill/>
        </a:ln>
      </c:spPr>
    </c:title>
    <c:autoTitleDeleted val="0"/>
    <c:plotArea>
      <c:layout>
        <c:manualLayout>
          <c:layoutTarget val="inner"/>
          <c:xMode val="edge"/>
          <c:yMode val="edge"/>
          <c:x val="8.2720713165292212E-2"/>
          <c:y val="9.6319562661861147E-2"/>
          <c:w val="0.88385006561679791"/>
          <c:h val="0.68098525492116968"/>
        </c:manualLayout>
      </c:layout>
      <c:lineChart>
        <c:grouping val="standard"/>
        <c:varyColors val="0"/>
        <c:ser>
          <c:idx val="0"/>
          <c:order val="0"/>
          <c:spPr>
            <a:ln w="12700">
              <a:solidFill>
                <a:schemeClr val="tx1"/>
              </a:solidFill>
            </a:ln>
          </c:spPr>
          <c:marker>
            <c:symbol val="diamond"/>
            <c:size val="6"/>
            <c:spPr>
              <a:solidFill>
                <a:schemeClr val="tx1"/>
              </a:solidFill>
              <a:ln>
                <a:solidFill>
                  <a:schemeClr val="tx1"/>
                </a:solidFill>
              </a:ln>
            </c:spPr>
          </c:marker>
          <c:cat>
            <c:numRef>
              <c:f>チャート!$Q$324:$Q$348</c:f>
              <c:numCache>
                <c:formatCode>m"月"d"日"</c:formatCode>
                <c:ptCount val="25"/>
                <c:pt idx="0">
                  <c:v>42447</c:v>
                </c:pt>
                <c:pt idx="1">
                  <c:v>42454</c:v>
                </c:pt>
                <c:pt idx="2">
                  <c:v>42461</c:v>
                </c:pt>
                <c:pt idx="3">
                  <c:v>42468</c:v>
                </c:pt>
                <c:pt idx="4">
                  <c:v>42475</c:v>
                </c:pt>
                <c:pt idx="5">
                  <c:v>42482</c:v>
                </c:pt>
                <c:pt idx="6">
                  <c:v>42488</c:v>
                </c:pt>
                <c:pt idx="7">
                  <c:v>42496</c:v>
                </c:pt>
                <c:pt idx="8">
                  <c:v>42503</c:v>
                </c:pt>
                <c:pt idx="9">
                  <c:v>42510</c:v>
                </c:pt>
                <c:pt idx="10">
                  <c:v>42517</c:v>
                </c:pt>
                <c:pt idx="11">
                  <c:v>42524</c:v>
                </c:pt>
                <c:pt idx="12">
                  <c:v>42531</c:v>
                </c:pt>
                <c:pt idx="13">
                  <c:v>42538</c:v>
                </c:pt>
                <c:pt idx="14">
                  <c:v>42545</c:v>
                </c:pt>
                <c:pt idx="15">
                  <c:v>42552</c:v>
                </c:pt>
                <c:pt idx="16">
                  <c:v>42559</c:v>
                </c:pt>
                <c:pt idx="17">
                  <c:v>42566</c:v>
                </c:pt>
                <c:pt idx="18">
                  <c:v>42573</c:v>
                </c:pt>
                <c:pt idx="19">
                  <c:v>42580</c:v>
                </c:pt>
                <c:pt idx="20">
                  <c:v>42587</c:v>
                </c:pt>
                <c:pt idx="21">
                  <c:v>42594</c:v>
                </c:pt>
                <c:pt idx="22">
                  <c:v>42601</c:v>
                </c:pt>
                <c:pt idx="23">
                  <c:v>42608</c:v>
                </c:pt>
                <c:pt idx="24">
                  <c:v>42615</c:v>
                </c:pt>
              </c:numCache>
            </c:numRef>
          </c:cat>
          <c:val>
            <c:numRef>
              <c:f>チャート!$R$324:$R$348</c:f>
              <c:numCache>
                <c:formatCode>General</c:formatCode>
                <c:ptCount val="25"/>
                <c:pt idx="0">
                  <c:v>111.17</c:v>
                </c:pt>
                <c:pt idx="1">
                  <c:v>113.31</c:v>
                </c:pt>
                <c:pt idx="2">
                  <c:v>112.35</c:v>
                </c:pt>
                <c:pt idx="3">
                  <c:v>108.85</c:v>
                </c:pt>
                <c:pt idx="4">
                  <c:v>109.74</c:v>
                </c:pt>
                <c:pt idx="5">
                  <c:v>109.43</c:v>
                </c:pt>
                <c:pt idx="6">
                  <c:v>109.75</c:v>
                </c:pt>
                <c:pt idx="7">
                  <c:v>107.39</c:v>
                </c:pt>
                <c:pt idx="8">
                  <c:v>108.94</c:v>
                </c:pt>
                <c:pt idx="9">
                  <c:v>110.09</c:v>
                </c:pt>
                <c:pt idx="10">
                  <c:v>109.79</c:v>
                </c:pt>
                <c:pt idx="11">
                  <c:v>108.91</c:v>
                </c:pt>
                <c:pt idx="12">
                  <c:v>107.1</c:v>
                </c:pt>
                <c:pt idx="13">
                  <c:v>104.73</c:v>
                </c:pt>
                <c:pt idx="14">
                  <c:v>100.76</c:v>
                </c:pt>
                <c:pt idx="15">
                  <c:v>102.98</c:v>
                </c:pt>
                <c:pt idx="16">
                  <c:v>100.96</c:v>
                </c:pt>
                <c:pt idx="17">
                  <c:v>105.64</c:v>
                </c:pt>
                <c:pt idx="18">
                  <c:v>105.71</c:v>
                </c:pt>
                <c:pt idx="19">
                  <c:v>104.42</c:v>
                </c:pt>
                <c:pt idx="20">
                  <c:v>101.27</c:v>
                </c:pt>
                <c:pt idx="21">
                  <c:v>102.21</c:v>
                </c:pt>
                <c:pt idx="22">
                  <c:v>100.43</c:v>
                </c:pt>
                <c:pt idx="23">
                  <c:v>100.5</c:v>
                </c:pt>
                <c:pt idx="24">
                  <c:v>103.31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36399744"/>
        <c:axId val="37139200"/>
      </c:lineChart>
      <c:dateAx>
        <c:axId val="36399744"/>
        <c:scaling>
          <c:orientation val="minMax"/>
        </c:scaling>
        <c:delete val="0"/>
        <c:axPos val="b"/>
        <c:numFmt formatCode="m&quot;月&quot;d&quot;日&quot;;@" sourceLinked="0"/>
        <c:majorTickMark val="in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-2700000" vert="horz"/>
          <a:lstStyle/>
          <a:p>
            <a:pPr>
              <a:defRPr sz="1200" b="0" i="0" u="none" strike="noStrike" baseline="0">
                <a:solidFill>
                  <a:srgbClr val="000000"/>
                </a:solidFill>
                <a:latin typeface="ＭＳ Ｐ明朝"/>
                <a:ea typeface="ＭＳ Ｐ明朝"/>
                <a:cs typeface="ＭＳ Ｐ明朝"/>
              </a:defRPr>
            </a:pPr>
            <a:endParaRPr lang="ja-JP"/>
          </a:p>
        </c:txPr>
        <c:crossAx val="37139200"/>
        <c:crosses val="autoZero"/>
        <c:auto val="0"/>
        <c:lblOffset val="100"/>
        <c:baseTimeUnit val="days"/>
        <c:majorUnit val="14"/>
        <c:majorTimeUnit val="days"/>
        <c:minorUnit val="1"/>
        <c:minorTimeUnit val="days"/>
      </c:dateAx>
      <c:valAx>
        <c:axId val="37139200"/>
        <c:scaling>
          <c:orientation val="minMax"/>
          <c:max val="114"/>
          <c:min val="100"/>
        </c:scaling>
        <c:delete val="0"/>
        <c:axPos val="l"/>
        <c:majorGridlines>
          <c:spPr>
            <a:ln w="9525">
              <a:solidFill>
                <a:srgbClr val="000000"/>
              </a:solidFill>
              <a:prstDash val="sysDash"/>
            </a:ln>
          </c:spPr>
        </c:majorGridlines>
        <c:title>
          <c:tx>
            <c:rich>
              <a:bodyPr rot="0" vert="horz"/>
              <a:lstStyle/>
              <a:p>
                <a:pPr algn="ctr">
                  <a:defRPr sz="1000" b="0" i="0" u="none" strike="noStrike" baseline="0">
                    <a:solidFill>
                      <a:srgbClr val="000000"/>
                    </a:solidFill>
                    <a:latin typeface="ＭＳ Ｐゴシック"/>
                    <a:ea typeface="ＭＳ Ｐゴシック"/>
                    <a:cs typeface="ＭＳ Ｐゴシック"/>
                  </a:defRPr>
                </a:pPr>
                <a:r>
                  <a:rPr lang="ja-JP" altLang="en-US" sz="1000" b="0" i="0" u="none" strike="noStrike" baseline="0">
                    <a:solidFill>
                      <a:srgbClr val="000000"/>
                    </a:solidFill>
                    <a:latin typeface="ＭＳ Ｐ明朝"/>
                    <a:ea typeface="ＭＳ Ｐ明朝"/>
                  </a:rPr>
                  <a:t>円/ドル</a:t>
                </a:r>
              </a:p>
            </c:rich>
          </c:tx>
          <c:layout>
            <c:manualLayout>
              <c:xMode val="edge"/>
              <c:yMode val="edge"/>
              <c:x val="1.4893565791331383E-2"/>
              <c:y val="1.5223092412199346E-3"/>
            </c:manualLayout>
          </c:layout>
          <c:overlay val="0"/>
          <c:spPr>
            <a:noFill/>
            <a:ln w="25400">
              <a:noFill/>
            </a:ln>
          </c:spPr>
        </c:title>
        <c:numFmt formatCode="0" sourceLinked="0"/>
        <c:majorTickMark val="in"/>
        <c:minorTickMark val="none"/>
        <c:tickLblPos val="nextTo"/>
        <c:spPr>
          <a:ln w="952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200" b="0" i="0" u="none" strike="noStrike" baseline="0">
                <a:solidFill>
                  <a:srgbClr val="000000"/>
                </a:solidFill>
                <a:latin typeface="ＭＳ Ｐ明朝"/>
                <a:ea typeface="ＭＳ Ｐ明朝"/>
                <a:cs typeface="ＭＳ Ｐ明朝"/>
              </a:defRPr>
            </a:pPr>
            <a:endParaRPr lang="ja-JP"/>
          </a:p>
        </c:txPr>
        <c:crossAx val="36399744"/>
        <c:crosses val="autoZero"/>
        <c:crossBetween val="between"/>
        <c:majorUnit val="3.5"/>
      </c:valAx>
      <c:spPr>
        <a:solidFill>
          <a:srgbClr val="FFFFFF"/>
        </a:solidFill>
        <a:ln w="9525">
          <a:solidFill>
            <a:schemeClr val="tx1"/>
          </a:solidFill>
          <a:prstDash val="solid"/>
        </a:ln>
      </c:spPr>
    </c:plotArea>
    <c:plotVisOnly val="1"/>
    <c:dispBlanksAs val="gap"/>
    <c:showDLblsOverMax val="0"/>
  </c:chart>
  <c:spPr>
    <a:solidFill>
      <a:srgbClr val="FFFFFF"/>
    </a:solidFill>
    <a:ln w="9525">
      <a:noFill/>
    </a:ln>
  </c:spPr>
  <c:txPr>
    <a:bodyPr/>
    <a:lstStyle/>
    <a:p>
      <a:pPr>
        <a:defRPr sz="1200" b="0" i="0" u="none" strike="noStrike" baseline="0">
          <a:solidFill>
            <a:srgbClr val="000000"/>
          </a:solidFill>
          <a:latin typeface="ＭＳ Ｐゴシック"/>
          <a:ea typeface="ＭＳ Ｐゴシック"/>
          <a:cs typeface="ＭＳ Ｐゴシック"/>
        </a:defRPr>
      </a:pPr>
      <a:endParaRPr lang="ja-JP"/>
    </a:p>
  </c:txPr>
  <c:externalData r:id="rId1">
    <c:autoUpdate val="0"/>
  </c:externalData>
</c:chartSpace>
</file>

<file path=word/drawings/drawing1.xml><?xml version="1.0" encoding="utf-8"?>
<c:userShapes xmlns:c="http://schemas.openxmlformats.org/drawingml/2006/chart">
  <cdr:relSizeAnchor xmlns:cdr="http://schemas.openxmlformats.org/drawingml/2006/chartDrawing">
    <cdr:from>
      <cdr:x>0.36307</cdr:x>
      <cdr:y>0.02029</cdr:y>
    </cdr:from>
    <cdr:to>
      <cdr:x>0.66535</cdr:x>
      <cdr:y>0.08503</cdr:y>
    </cdr:to>
    <cdr:sp macro="" textlink="">
      <cdr:nvSpPr>
        <cdr:cNvPr id="2" name="テキスト ボックス 1"/>
        <cdr:cNvSpPr txBox="1"/>
      </cdr:nvSpPr>
      <cdr:spPr>
        <a:xfrm xmlns:a="http://schemas.openxmlformats.org/drawingml/2006/main">
          <a:off x="1951985" y="63132"/>
          <a:ext cx="1625182" cy="201450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none" rtlCol="0" anchor="ctr"/>
        <a:lstStyle xmlns:a="http://schemas.openxmlformats.org/drawingml/2006/main"/>
        <a:p xmlns:a="http://schemas.openxmlformats.org/drawingml/2006/main">
          <a:pPr algn="ctr"/>
          <a:r>
            <a:rPr lang="ja-JP" altLang="en-US" sz="1600">
              <a:latin typeface="ＭＳ Ｐ明朝" pitchFamily="18" charset="-128"/>
              <a:ea typeface="ＭＳ Ｐ明朝" pitchFamily="18" charset="-128"/>
            </a:rPr>
            <a:t>とうもろこしシカゴ定期の推移</a:t>
          </a:r>
        </a:p>
      </cdr:txBody>
    </cdr:sp>
  </cdr:relSizeAnchor>
  <cdr:relSizeAnchor xmlns:cdr="http://schemas.openxmlformats.org/drawingml/2006/chartDrawing">
    <cdr:from>
      <cdr:x>0.00111</cdr:x>
      <cdr:y>0.00846</cdr:y>
    </cdr:from>
    <cdr:to>
      <cdr:x>0.18442</cdr:x>
      <cdr:y>0.08503</cdr:y>
    </cdr:to>
    <cdr:sp macro="" textlink="">
      <cdr:nvSpPr>
        <cdr:cNvPr id="3" name="テキスト ボックス 2"/>
        <cdr:cNvSpPr txBox="1"/>
      </cdr:nvSpPr>
      <cdr:spPr>
        <a:xfrm xmlns:a="http://schemas.openxmlformats.org/drawingml/2006/main">
          <a:off x="6178" y="25872"/>
          <a:ext cx="1020365" cy="234163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none" rtlCol="0"/>
        <a:lstStyle xmlns:a="http://schemas.openxmlformats.org/drawingml/2006/main"/>
        <a:p xmlns:a="http://schemas.openxmlformats.org/drawingml/2006/main">
          <a:pPr algn="ctr"/>
          <a:r>
            <a:rPr lang="ja-JP" altLang="en-US" sz="1050">
              <a:latin typeface="ＭＳ Ｐ明朝" pitchFamily="18" charset="-128"/>
              <a:ea typeface="ＭＳ Ｐ明朝" pitchFamily="18" charset="-128"/>
            </a:rPr>
            <a:t>セ</a:t>
          </a:r>
          <a:r>
            <a:rPr lang="ja-JP" altLang="en-US" sz="1000">
              <a:latin typeface="ＭＳ Ｐ明朝" pitchFamily="18" charset="-128"/>
              <a:ea typeface="ＭＳ Ｐ明朝" pitchFamily="18" charset="-128"/>
            </a:rPr>
            <a:t>ント</a:t>
          </a:r>
          <a:r>
            <a:rPr lang="en-US" altLang="ja-JP" sz="1000">
              <a:latin typeface="ＭＳ Ｐ明朝" pitchFamily="18" charset="-128"/>
              <a:ea typeface="ＭＳ Ｐ明朝" pitchFamily="18" charset="-128"/>
            </a:rPr>
            <a:t>/</a:t>
          </a:r>
          <a:r>
            <a:rPr lang="ja-JP" altLang="en-US" sz="1000">
              <a:latin typeface="ＭＳ Ｐ明朝" pitchFamily="18" charset="-128"/>
              <a:ea typeface="ＭＳ Ｐ明朝" pitchFamily="18" charset="-128"/>
            </a:rPr>
            <a:t>ブッシェル</a:t>
          </a:r>
        </a:p>
      </cdr:txBody>
    </cdr:sp>
  </cdr:relSizeAnchor>
</c:userShape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DE361E-66D9-4F1A-BAFA-3BAFA8A9EA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ホクレン農業協同組合連合会</Company>
  <LinksUpToDate>false</LinksUpToDate>
  <CharactersWithSpaces>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l4162m</dc:creator>
  <cp:lastModifiedBy>M4162A</cp:lastModifiedBy>
  <cp:revision>9</cp:revision>
  <cp:lastPrinted>2016-09-08T08:11:00Z</cp:lastPrinted>
  <dcterms:created xsi:type="dcterms:W3CDTF">2016-06-17T02:09:00Z</dcterms:created>
  <dcterms:modified xsi:type="dcterms:W3CDTF">2016-09-09T02:40:00Z</dcterms:modified>
</cp:coreProperties>
</file>