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BBE" w:rsidRDefault="00370A22" w:rsidP="00370A22">
      <w:pPr>
        <w:jc w:val="center"/>
      </w:pPr>
      <w:bookmarkStart w:id="0" w:name="_GoBack"/>
      <w:r>
        <w:rPr>
          <w:noProof/>
        </w:rPr>
        <w:drawing>
          <wp:inline distT="0" distB="0" distL="0" distR="0" wp14:anchorId="0FD36F22" wp14:editId="3D5B12C4">
            <wp:extent cx="5636526" cy="2961564"/>
            <wp:effectExtent l="0" t="0" r="2540" b="0"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5541086A" wp14:editId="3AECAD57">
            <wp:extent cx="5895833" cy="3077571"/>
            <wp:effectExtent l="0" t="0" r="0" b="8890"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97F0B" wp14:editId="52B8E6A0">
            <wp:extent cx="5813946" cy="3057099"/>
            <wp:effectExtent l="0" t="0" r="0" b="0"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FE4BBE" w:rsidSect="00A277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72" w:rsidRDefault="007B3F72" w:rsidP="007B3F72">
      <w:r>
        <w:separator/>
      </w:r>
    </w:p>
  </w:endnote>
  <w:endnote w:type="continuationSeparator" w:id="0">
    <w:p w:rsidR="007B3F72" w:rsidRDefault="007B3F72" w:rsidP="007B3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72" w:rsidRDefault="007B3F72" w:rsidP="007B3F72">
      <w:r>
        <w:separator/>
      </w:r>
    </w:p>
  </w:footnote>
  <w:footnote w:type="continuationSeparator" w:id="0">
    <w:p w:rsidR="007B3F72" w:rsidRDefault="007B3F72" w:rsidP="007B3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C3"/>
    <w:rsid w:val="000A5857"/>
    <w:rsid w:val="001525AF"/>
    <w:rsid w:val="001655A1"/>
    <w:rsid w:val="001F0B1E"/>
    <w:rsid w:val="002232DE"/>
    <w:rsid w:val="00295055"/>
    <w:rsid w:val="0035685C"/>
    <w:rsid w:val="00370A22"/>
    <w:rsid w:val="00374BD6"/>
    <w:rsid w:val="003A45C4"/>
    <w:rsid w:val="00403E08"/>
    <w:rsid w:val="00405A1E"/>
    <w:rsid w:val="0045056F"/>
    <w:rsid w:val="004E625C"/>
    <w:rsid w:val="00540000"/>
    <w:rsid w:val="00542FE3"/>
    <w:rsid w:val="005931A4"/>
    <w:rsid w:val="00614E46"/>
    <w:rsid w:val="00623F87"/>
    <w:rsid w:val="006D0DF1"/>
    <w:rsid w:val="00743A9A"/>
    <w:rsid w:val="007B3F72"/>
    <w:rsid w:val="00836616"/>
    <w:rsid w:val="00867BAC"/>
    <w:rsid w:val="00874853"/>
    <w:rsid w:val="00944777"/>
    <w:rsid w:val="009B0066"/>
    <w:rsid w:val="00A2349A"/>
    <w:rsid w:val="00A277C3"/>
    <w:rsid w:val="00AF42C4"/>
    <w:rsid w:val="00BF1D07"/>
    <w:rsid w:val="00C03B64"/>
    <w:rsid w:val="00CB3F04"/>
    <w:rsid w:val="00CD5165"/>
    <w:rsid w:val="00D92231"/>
    <w:rsid w:val="00DA2443"/>
    <w:rsid w:val="00DE7F39"/>
    <w:rsid w:val="00E35AC2"/>
    <w:rsid w:val="00E9718B"/>
    <w:rsid w:val="00F614AD"/>
    <w:rsid w:val="00FD1BB8"/>
    <w:rsid w:val="00FD2872"/>
    <w:rsid w:val="00FE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A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0A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B3F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3F72"/>
  </w:style>
  <w:style w:type="paragraph" w:styleId="a7">
    <w:name w:val="footer"/>
    <w:basedOn w:val="a"/>
    <w:link w:val="a8"/>
    <w:uiPriority w:val="99"/>
    <w:unhideWhenUsed/>
    <w:rsid w:val="007B3F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B3F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A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0A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B3F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3F72"/>
  </w:style>
  <w:style w:type="paragraph" w:styleId="a7">
    <w:name w:val="footer"/>
    <w:basedOn w:val="a"/>
    <w:link w:val="a8"/>
    <w:uiPriority w:val="99"/>
    <w:unhideWhenUsed/>
    <w:rsid w:val="007B3F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B3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83864771486049E-2"/>
          <c:y val="0.11432634616681663"/>
          <c:w val="0.900349257681061"/>
          <c:h val="0.67503837379538367"/>
        </c:manualLayout>
      </c:layout>
      <c:lineChart>
        <c:grouping val="standard"/>
        <c:varyColors val="0"/>
        <c:ser>
          <c:idx val="0"/>
          <c:order val="0"/>
          <c:tx>
            <c:strRef>
              <c:f>チャート!$C$35</c:f>
              <c:strCache>
                <c:ptCount val="1"/>
                <c:pt idx="0">
                  <c:v>５月限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diamond"/>
            <c:size val="6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チャート!$A$366:$A$388</c:f>
              <c:numCache>
                <c:formatCode>m"月"d"日"</c:formatCode>
                <c:ptCount val="23"/>
                <c:pt idx="0">
                  <c:v>42741</c:v>
                </c:pt>
                <c:pt idx="1">
                  <c:v>42748</c:v>
                </c:pt>
                <c:pt idx="2">
                  <c:v>42755</c:v>
                </c:pt>
                <c:pt idx="3">
                  <c:v>42762</c:v>
                </c:pt>
                <c:pt idx="4">
                  <c:v>42769</c:v>
                </c:pt>
                <c:pt idx="5">
                  <c:v>42776</c:v>
                </c:pt>
                <c:pt idx="6">
                  <c:v>42783</c:v>
                </c:pt>
                <c:pt idx="7">
                  <c:v>42790</c:v>
                </c:pt>
                <c:pt idx="8">
                  <c:v>42797</c:v>
                </c:pt>
                <c:pt idx="9">
                  <c:v>42804</c:v>
                </c:pt>
                <c:pt idx="10">
                  <c:v>42811</c:v>
                </c:pt>
                <c:pt idx="11">
                  <c:v>42818</c:v>
                </c:pt>
                <c:pt idx="12">
                  <c:v>42825</c:v>
                </c:pt>
                <c:pt idx="13">
                  <c:v>42832</c:v>
                </c:pt>
                <c:pt idx="14">
                  <c:v>42838</c:v>
                </c:pt>
                <c:pt idx="15">
                  <c:v>42846</c:v>
                </c:pt>
                <c:pt idx="16">
                  <c:v>42853</c:v>
                </c:pt>
                <c:pt idx="17">
                  <c:v>42860</c:v>
                </c:pt>
                <c:pt idx="18">
                  <c:v>42867</c:v>
                </c:pt>
                <c:pt idx="19">
                  <c:v>42874</c:v>
                </c:pt>
                <c:pt idx="20">
                  <c:v>42881</c:v>
                </c:pt>
                <c:pt idx="21">
                  <c:v>42888</c:v>
                </c:pt>
                <c:pt idx="22">
                  <c:v>42895</c:v>
                </c:pt>
              </c:numCache>
            </c:numRef>
          </c:cat>
          <c:val>
            <c:numRef>
              <c:f>チャート!$C$366:$C$388</c:f>
              <c:numCache>
                <c:formatCode>General</c:formatCode>
                <c:ptCount val="23"/>
                <c:pt idx="0">
                  <c:v>364.75</c:v>
                </c:pt>
                <c:pt idx="1">
                  <c:v>365.5</c:v>
                </c:pt>
                <c:pt idx="2">
                  <c:v>376.25</c:v>
                </c:pt>
                <c:pt idx="3">
                  <c:v>369.75</c:v>
                </c:pt>
                <c:pt idx="4">
                  <c:v>372.75</c:v>
                </c:pt>
                <c:pt idx="5">
                  <c:v>382</c:v>
                </c:pt>
                <c:pt idx="6">
                  <c:v>375.5</c:v>
                </c:pt>
                <c:pt idx="7">
                  <c:v>370.75</c:v>
                </c:pt>
                <c:pt idx="8">
                  <c:v>380.75</c:v>
                </c:pt>
                <c:pt idx="9">
                  <c:v>364.25</c:v>
                </c:pt>
                <c:pt idx="10">
                  <c:v>367.5</c:v>
                </c:pt>
                <c:pt idx="11">
                  <c:v>356.25</c:v>
                </c:pt>
                <c:pt idx="12">
                  <c:v>364.25</c:v>
                </c:pt>
                <c:pt idx="13">
                  <c:v>359.5</c:v>
                </c:pt>
                <c:pt idx="14">
                  <c:v>371</c:v>
                </c:pt>
                <c:pt idx="15">
                  <c:v>357.75</c:v>
                </c:pt>
                <c:pt idx="16">
                  <c:v>358</c:v>
                </c:pt>
                <c:pt idx="17">
                  <c:v>361.75</c:v>
                </c:pt>
                <c:pt idx="18">
                  <c:v>361.75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チャート!$D$35</c:f>
              <c:strCache>
                <c:ptCount val="1"/>
                <c:pt idx="0">
                  <c:v>７月限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チャート!$A$366:$A$388</c:f>
              <c:numCache>
                <c:formatCode>m"月"d"日"</c:formatCode>
                <c:ptCount val="23"/>
                <c:pt idx="0">
                  <c:v>42741</c:v>
                </c:pt>
                <c:pt idx="1">
                  <c:v>42748</c:v>
                </c:pt>
                <c:pt idx="2">
                  <c:v>42755</c:v>
                </c:pt>
                <c:pt idx="3">
                  <c:v>42762</c:v>
                </c:pt>
                <c:pt idx="4">
                  <c:v>42769</c:v>
                </c:pt>
                <c:pt idx="5">
                  <c:v>42776</c:v>
                </c:pt>
                <c:pt idx="6">
                  <c:v>42783</c:v>
                </c:pt>
                <c:pt idx="7">
                  <c:v>42790</c:v>
                </c:pt>
                <c:pt idx="8">
                  <c:v>42797</c:v>
                </c:pt>
                <c:pt idx="9">
                  <c:v>42804</c:v>
                </c:pt>
                <c:pt idx="10">
                  <c:v>42811</c:v>
                </c:pt>
                <c:pt idx="11">
                  <c:v>42818</c:v>
                </c:pt>
                <c:pt idx="12">
                  <c:v>42825</c:v>
                </c:pt>
                <c:pt idx="13">
                  <c:v>42832</c:v>
                </c:pt>
                <c:pt idx="14">
                  <c:v>42838</c:v>
                </c:pt>
                <c:pt idx="15">
                  <c:v>42846</c:v>
                </c:pt>
                <c:pt idx="16">
                  <c:v>42853</c:v>
                </c:pt>
                <c:pt idx="17">
                  <c:v>42860</c:v>
                </c:pt>
                <c:pt idx="18">
                  <c:v>42867</c:v>
                </c:pt>
                <c:pt idx="19">
                  <c:v>42874</c:v>
                </c:pt>
                <c:pt idx="20">
                  <c:v>42881</c:v>
                </c:pt>
                <c:pt idx="21">
                  <c:v>42888</c:v>
                </c:pt>
                <c:pt idx="22">
                  <c:v>42895</c:v>
                </c:pt>
              </c:numCache>
            </c:numRef>
          </c:cat>
          <c:val>
            <c:numRef>
              <c:f>チャート!$D$366:$D$388</c:f>
              <c:numCache>
                <c:formatCode>General</c:formatCode>
                <c:ptCount val="23"/>
                <c:pt idx="10">
                  <c:v>375</c:v>
                </c:pt>
                <c:pt idx="11">
                  <c:v>363.75</c:v>
                </c:pt>
                <c:pt idx="12">
                  <c:v>371.75</c:v>
                </c:pt>
                <c:pt idx="13">
                  <c:v>367.25</c:v>
                </c:pt>
                <c:pt idx="14">
                  <c:v>378</c:v>
                </c:pt>
                <c:pt idx="15">
                  <c:v>364.25</c:v>
                </c:pt>
                <c:pt idx="16">
                  <c:v>366.5</c:v>
                </c:pt>
                <c:pt idx="17">
                  <c:v>370.75</c:v>
                </c:pt>
                <c:pt idx="18">
                  <c:v>371</c:v>
                </c:pt>
                <c:pt idx="19">
                  <c:v>372.5</c:v>
                </c:pt>
                <c:pt idx="20">
                  <c:v>374.25</c:v>
                </c:pt>
                <c:pt idx="21">
                  <c:v>372.75</c:v>
                </c:pt>
                <c:pt idx="22">
                  <c:v>387.75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509696"/>
        <c:axId val="92511616"/>
      </c:lineChart>
      <c:catAx>
        <c:axId val="92509696"/>
        <c:scaling>
          <c:orientation val="minMax"/>
        </c:scaling>
        <c:delete val="0"/>
        <c:axPos val="b"/>
        <c:numFmt formatCode="m&quot;月&quot;d&quot;日&quot;;@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-2700000" vert="horz"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endParaRPr lang="ja-JP"/>
          </a:p>
        </c:txPr>
        <c:crossAx val="92511616"/>
        <c:crosses val="autoZero"/>
        <c:auto val="0"/>
        <c:lblAlgn val="ctr"/>
        <c:lblOffset val="100"/>
        <c:tickLblSkip val="2"/>
        <c:tickMarkSkip val="2"/>
        <c:noMultiLvlLbl val="0"/>
      </c:catAx>
      <c:valAx>
        <c:axId val="92511616"/>
        <c:scaling>
          <c:orientation val="minMax"/>
          <c:max val="390"/>
          <c:min val="350"/>
        </c:scaling>
        <c:delete val="0"/>
        <c:axPos val="l"/>
        <c:majorGridlines>
          <c:spPr>
            <a:ln>
              <a:solidFill>
                <a:schemeClr val="tx1"/>
              </a:solidFill>
              <a:prstDash val="sysDash"/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solidFill>
              <a:schemeClr val="tx1"/>
            </a:solidFill>
            <a:prstDash val="sysDot"/>
          </a:ln>
        </c:spPr>
        <c:txPr>
          <a:bodyPr/>
          <a:lstStyle/>
          <a:p>
            <a:pPr>
              <a:defRPr sz="1200"/>
            </a:pPr>
            <a:endParaRPr lang="ja-JP"/>
          </a:p>
        </c:txPr>
        <c:crossAx val="92509696"/>
        <c:crosses val="autoZero"/>
        <c:crossBetween val="between"/>
        <c:minorUnit val="10"/>
      </c:valAx>
      <c:spPr>
        <a:solidFill>
          <a:srgbClr val="FFFFFF"/>
        </a:solidFill>
        <a:ln cmpd="sng"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0462313134011979"/>
          <c:y val="0.14951241217086766"/>
          <c:w val="0.14254311964497282"/>
          <c:h val="0.11405890905283848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10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ＭＳ Ｐ明朝" pitchFamily="18" charset="-128"/>
          <a:ea typeface="ＭＳ Ｐ明朝" pitchFamily="18" charset="-128"/>
        </a:defRPr>
      </a:pPr>
      <a:endParaRPr lang="ja-JP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600" b="0" i="0" u="none" strike="noStrike" baseline="0">
                <a:solidFill>
                  <a:srgbClr val="000000"/>
                </a:solidFill>
                <a:latin typeface="ＭＳ Ｐ明朝"/>
                <a:ea typeface="ＭＳ Ｐ明朝"/>
                <a:cs typeface="ＭＳ Ｐ明朝"/>
              </a:defRPr>
            </a:pPr>
            <a:r>
              <a:rPr lang="ja-JP" altLang="en-US" sz="1600"/>
              <a:t>　大豆粕シカゴ定期の推移</a:t>
            </a:r>
          </a:p>
        </c:rich>
      </c:tx>
      <c:layout>
        <c:manualLayout>
          <c:xMode val="edge"/>
          <c:yMode val="edge"/>
          <c:x val="0.31797389783598007"/>
          <c:y val="5.487763266075438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913494387092181E-2"/>
          <c:y val="0.16364011555922411"/>
          <c:w val="0.86658390765138704"/>
          <c:h val="0.63367888444402565"/>
        </c:manualLayout>
      </c:layout>
      <c:lineChart>
        <c:grouping val="standard"/>
        <c:varyColors val="0"/>
        <c:ser>
          <c:idx val="1"/>
          <c:order val="0"/>
          <c:spPr>
            <a:ln w="12700">
              <a:solidFill>
                <a:schemeClr val="tx1"/>
              </a:solidFill>
              <a:prstDash val="solid"/>
            </a:ln>
          </c:spPr>
          <c:marker>
            <c:symbol val="diamond"/>
            <c:size val="6"/>
            <c:spPr>
              <a:solidFill>
                <a:schemeClr val="tx1"/>
              </a:solidFill>
              <a:ln>
                <a:solidFill>
                  <a:schemeClr val="tx1"/>
                </a:solidFill>
                <a:prstDash val="solid"/>
              </a:ln>
            </c:spPr>
          </c:marker>
          <c:cat>
            <c:numRef>
              <c:f>チャート!$AP$366:$AP$388</c:f>
              <c:numCache>
                <c:formatCode>m"月"d"日"</c:formatCode>
                <c:ptCount val="23"/>
                <c:pt idx="0">
                  <c:v>42741</c:v>
                </c:pt>
                <c:pt idx="1">
                  <c:v>42748</c:v>
                </c:pt>
                <c:pt idx="2">
                  <c:v>42755</c:v>
                </c:pt>
                <c:pt idx="3">
                  <c:v>42762</c:v>
                </c:pt>
                <c:pt idx="4">
                  <c:v>42769</c:v>
                </c:pt>
                <c:pt idx="5">
                  <c:v>42776</c:v>
                </c:pt>
                <c:pt idx="6">
                  <c:v>42783</c:v>
                </c:pt>
                <c:pt idx="7">
                  <c:v>42790</c:v>
                </c:pt>
                <c:pt idx="8">
                  <c:v>42797</c:v>
                </c:pt>
                <c:pt idx="9">
                  <c:v>42804</c:v>
                </c:pt>
                <c:pt idx="10">
                  <c:v>42811</c:v>
                </c:pt>
                <c:pt idx="11">
                  <c:v>42818</c:v>
                </c:pt>
                <c:pt idx="12">
                  <c:v>42825</c:v>
                </c:pt>
                <c:pt idx="13">
                  <c:v>42832</c:v>
                </c:pt>
                <c:pt idx="14">
                  <c:v>42838</c:v>
                </c:pt>
                <c:pt idx="15">
                  <c:v>42846</c:v>
                </c:pt>
                <c:pt idx="16">
                  <c:v>42853</c:v>
                </c:pt>
                <c:pt idx="17">
                  <c:v>42860</c:v>
                </c:pt>
                <c:pt idx="18">
                  <c:v>42867</c:v>
                </c:pt>
                <c:pt idx="19">
                  <c:v>42874</c:v>
                </c:pt>
                <c:pt idx="20">
                  <c:v>42881</c:v>
                </c:pt>
                <c:pt idx="21">
                  <c:v>42888</c:v>
                </c:pt>
                <c:pt idx="22">
                  <c:v>42895</c:v>
                </c:pt>
              </c:numCache>
            </c:numRef>
          </c:cat>
          <c:val>
            <c:numRef>
              <c:f>チャート!$AQ$366:$AQ$388</c:f>
              <c:numCache>
                <c:formatCode>#,##0.00_);[Red]\(#,##0.00\)</c:formatCode>
                <c:ptCount val="23"/>
                <c:pt idx="0">
                  <c:v>338.95725000000004</c:v>
                </c:pt>
                <c:pt idx="1">
                  <c:v>366.51474999999999</c:v>
                </c:pt>
                <c:pt idx="2">
                  <c:v>384.37200999999999</c:v>
                </c:pt>
                <c:pt idx="3">
                  <c:v>378.08890000000002</c:v>
                </c:pt>
                <c:pt idx="4">
                  <c:v>365.52268000000004</c:v>
                </c:pt>
                <c:pt idx="5">
                  <c:v>377.09683000000007</c:v>
                </c:pt>
                <c:pt idx="6">
                  <c:v>374.34108000000003</c:v>
                </c:pt>
                <c:pt idx="7">
                  <c:v>365.19199000000003</c:v>
                </c:pt>
                <c:pt idx="8">
                  <c:v>362.43624000000005</c:v>
                </c:pt>
                <c:pt idx="9">
                  <c:v>357.80658000000005</c:v>
                </c:pt>
                <c:pt idx="10">
                  <c:v>362.54647</c:v>
                </c:pt>
                <c:pt idx="11">
                  <c:v>350.75186000000002</c:v>
                </c:pt>
                <c:pt idx="12">
                  <c:v>339.94932</c:v>
                </c:pt>
                <c:pt idx="13">
                  <c:v>338.84701999999999</c:v>
                </c:pt>
                <c:pt idx="14">
                  <c:v>349.98025000000001</c:v>
                </c:pt>
                <c:pt idx="15">
                  <c:v>339.39816999999999</c:v>
                </c:pt>
                <c:pt idx="16">
                  <c:v>343.58690999999999</c:v>
                </c:pt>
                <c:pt idx="17">
                  <c:v>344.24829000000005</c:v>
                </c:pt>
                <c:pt idx="18">
                  <c:v>341.38231000000002</c:v>
                </c:pt>
                <c:pt idx="19">
                  <c:v>338.40610000000004</c:v>
                </c:pt>
                <c:pt idx="20">
                  <c:v>332.67414000000002</c:v>
                </c:pt>
                <c:pt idx="21">
                  <c:v>332.78436999999997</c:v>
                </c:pt>
                <c:pt idx="22">
                  <c:v>337.19356999999997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320960"/>
        <c:axId val="103331328"/>
      </c:lineChart>
      <c:catAx>
        <c:axId val="103320960"/>
        <c:scaling>
          <c:orientation val="minMax"/>
        </c:scaling>
        <c:delete val="0"/>
        <c:axPos val="b"/>
        <c:numFmt formatCode="m&quot;月&quot;d&quot;日&quot;;@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ＭＳ Ｐ明朝"/>
                <a:ea typeface="ＭＳ Ｐ明朝"/>
                <a:cs typeface="ＭＳ Ｐ明朝"/>
              </a:defRPr>
            </a:pPr>
            <a:endParaRPr lang="ja-JP"/>
          </a:p>
        </c:txPr>
        <c:crossAx val="103331328"/>
        <c:crosses val="autoZero"/>
        <c:auto val="0"/>
        <c:lblAlgn val="ctr"/>
        <c:lblOffset val="100"/>
        <c:tickLblSkip val="2"/>
        <c:tickMarkSkip val="2"/>
        <c:noMultiLvlLbl val="0"/>
      </c:catAx>
      <c:valAx>
        <c:axId val="103331328"/>
        <c:scaling>
          <c:orientation val="minMax"/>
          <c:max val="390"/>
          <c:min val="330"/>
        </c:scaling>
        <c:delete val="0"/>
        <c:axPos val="l"/>
        <c:majorGridlines>
          <c:spPr>
            <a:ln w="9525" cmpd="sng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r>
                  <a:rPr lang="ja-JP" altLang="en-US" sz="1025" b="0" i="0" u="none" strike="noStrike" baseline="0">
                    <a:solidFill>
                      <a:srgbClr val="000000"/>
                    </a:solidFill>
                    <a:latin typeface="ＭＳ Ｐ明朝"/>
                    <a:ea typeface="ＭＳ Ｐ明朝"/>
                  </a:rPr>
                  <a:t>ドル/トン</a:t>
                </a:r>
              </a:p>
            </c:rich>
          </c:tx>
          <c:layout>
            <c:manualLayout>
              <c:xMode val="edge"/>
              <c:yMode val="edge"/>
              <c:x val="3.2715659477509117E-2"/>
              <c:y val="8.0643829962855962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ＭＳ Ｐ明朝"/>
                <a:ea typeface="ＭＳ Ｐ明朝"/>
                <a:cs typeface="ＭＳ Ｐ明朝"/>
              </a:defRPr>
            </a:pPr>
            <a:endParaRPr lang="ja-JP"/>
          </a:p>
        </c:txPr>
        <c:crossAx val="103320960"/>
        <c:crosses val="autoZero"/>
        <c:crossBetween val="between"/>
        <c:majorUnit val="20"/>
        <c:minorUnit val="20"/>
      </c:valAx>
      <c:spPr>
        <a:solidFill>
          <a:srgbClr val="FFFFFF"/>
        </a:solidFill>
        <a:ln w="9525">
          <a:solidFill>
            <a:schemeClr val="tx1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600" b="0" i="0" u="none" strike="noStrike" baseline="0">
                <a:solidFill>
                  <a:srgbClr val="000000"/>
                </a:solidFill>
                <a:latin typeface="ＭＳ Ｐ明朝"/>
                <a:ea typeface="ＭＳ Ｐ明朝"/>
                <a:cs typeface="ＭＳ Ｐ明朝"/>
              </a:defRPr>
            </a:pPr>
            <a:r>
              <a:rPr lang="ja-JP" altLang="en-US" sz="1600"/>
              <a:t>ドル円為替相場（東京市場対顧客電信相場）</a:t>
            </a:r>
          </a:p>
        </c:rich>
      </c:tx>
      <c:layout>
        <c:manualLayout>
          <c:xMode val="edge"/>
          <c:yMode val="edge"/>
          <c:x val="0.19407297828510464"/>
          <c:y val="2.881327100419053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153493852591194E-2"/>
          <c:y val="0.15003778349891556"/>
          <c:w val="0.87353288111035088"/>
          <c:h val="0.64593393939592203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chemeClr val="tx1"/>
              </a:solidFill>
            </a:ln>
          </c:spPr>
          <c:marker>
            <c:symbol val="diamond"/>
            <c:size val="6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チャート!$AC$366:$AC$388</c:f>
              <c:numCache>
                <c:formatCode>m"月"d"日"</c:formatCode>
                <c:ptCount val="23"/>
                <c:pt idx="0">
                  <c:v>42741</c:v>
                </c:pt>
                <c:pt idx="1">
                  <c:v>42748</c:v>
                </c:pt>
                <c:pt idx="2">
                  <c:v>42755</c:v>
                </c:pt>
                <c:pt idx="3">
                  <c:v>42762</c:v>
                </c:pt>
                <c:pt idx="4">
                  <c:v>42769</c:v>
                </c:pt>
                <c:pt idx="5">
                  <c:v>42776</c:v>
                </c:pt>
                <c:pt idx="6">
                  <c:v>42783</c:v>
                </c:pt>
                <c:pt idx="7">
                  <c:v>42790</c:v>
                </c:pt>
                <c:pt idx="8">
                  <c:v>42797</c:v>
                </c:pt>
                <c:pt idx="9">
                  <c:v>42804</c:v>
                </c:pt>
                <c:pt idx="10">
                  <c:v>42811</c:v>
                </c:pt>
                <c:pt idx="11">
                  <c:v>42818</c:v>
                </c:pt>
                <c:pt idx="12">
                  <c:v>42825</c:v>
                </c:pt>
                <c:pt idx="13">
                  <c:v>42832</c:v>
                </c:pt>
                <c:pt idx="14">
                  <c:v>42838</c:v>
                </c:pt>
                <c:pt idx="15">
                  <c:v>42846</c:v>
                </c:pt>
                <c:pt idx="16">
                  <c:v>42853</c:v>
                </c:pt>
                <c:pt idx="17">
                  <c:v>42860</c:v>
                </c:pt>
                <c:pt idx="18">
                  <c:v>42867</c:v>
                </c:pt>
                <c:pt idx="19">
                  <c:v>42874</c:v>
                </c:pt>
                <c:pt idx="20">
                  <c:v>42881</c:v>
                </c:pt>
                <c:pt idx="21">
                  <c:v>42888</c:v>
                </c:pt>
                <c:pt idx="22">
                  <c:v>42895</c:v>
                </c:pt>
              </c:numCache>
            </c:numRef>
          </c:cat>
          <c:val>
            <c:numRef>
              <c:f>チャート!$AD$366:$AD$388</c:f>
              <c:numCache>
                <c:formatCode>General</c:formatCode>
                <c:ptCount val="23"/>
                <c:pt idx="0">
                  <c:v>115.72</c:v>
                </c:pt>
                <c:pt idx="1">
                  <c:v>115.03</c:v>
                </c:pt>
                <c:pt idx="2">
                  <c:v>115.15</c:v>
                </c:pt>
                <c:pt idx="3">
                  <c:v>114.6</c:v>
                </c:pt>
                <c:pt idx="4">
                  <c:v>112.98</c:v>
                </c:pt>
                <c:pt idx="5">
                  <c:v>113.74</c:v>
                </c:pt>
                <c:pt idx="6">
                  <c:v>113.47</c:v>
                </c:pt>
                <c:pt idx="7">
                  <c:v>112.86</c:v>
                </c:pt>
                <c:pt idx="8">
                  <c:v>114.23</c:v>
                </c:pt>
                <c:pt idx="9">
                  <c:v>115.22</c:v>
                </c:pt>
                <c:pt idx="10">
                  <c:v>113.48</c:v>
                </c:pt>
                <c:pt idx="11">
                  <c:v>111.35</c:v>
                </c:pt>
                <c:pt idx="12">
                  <c:v>112.19</c:v>
                </c:pt>
                <c:pt idx="13">
                  <c:v>110.93</c:v>
                </c:pt>
                <c:pt idx="14">
                  <c:v>108.83</c:v>
                </c:pt>
                <c:pt idx="15">
                  <c:v>109.31</c:v>
                </c:pt>
                <c:pt idx="16">
                  <c:v>111.29</c:v>
                </c:pt>
                <c:pt idx="17">
                  <c:v>111.89</c:v>
                </c:pt>
                <c:pt idx="18">
                  <c:v>113.94</c:v>
                </c:pt>
                <c:pt idx="19">
                  <c:v>111.4</c:v>
                </c:pt>
                <c:pt idx="20">
                  <c:v>111.79</c:v>
                </c:pt>
                <c:pt idx="21">
                  <c:v>111.63</c:v>
                </c:pt>
                <c:pt idx="22">
                  <c:v>110.08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341440"/>
        <c:axId val="103876096"/>
      </c:lineChart>
      <c:catAx>
        <c:axId val="103341440"/>
        <c:scaling>
          <c:orientation val="minMax"/>
        </c:scaling>
        <c:delete val="0"/>
        <c:axPos val="b"/>
        <c:numFmt formatCode="m&quot;月&quot;d&quot;日&quot;;@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ＭＳ Ｐ明朝"/>
                <a:ea typeface="ＭＳ Ｐ明朝"/>
                <a:cs typeface="ＭＳ Ｐ明朝"/>
              </a:defRPr>
            </a:pPr>
            <a:endParaRPr lang="ja-JP"/>
          </a:p>
        </c:txPr>
        <c:crossAx val="103876096"/>
        <c:crosses val="autoZero"/>
        <c:auto val="0"/>
        <c:lblAlgn val="ctr"/>
        <c:lblOffset val="100"/>
        <c:tickLblSkip val="2"/>
        <c:tickMarkSkip val="2"/>
        <c:noMultiLvlLbl val="0"/>
      </c:catAx>
      <c:valAx>
        <c:axId val="103876096"/>
        <c:scaling>
          <c:orientation val="minMax"/>
          <c:max val="116"/>
          <c:min val="108"/>
        </c:scaling>
        <c:delete val="0"/>
        <c:axPos val="l"/>
        <c:majorGridlines>
          <c:spPr>
            <a:ln w="9525" cmpd="sng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r>
                  <a:rPr lang="ja-JP" altLang="en-US" sz="1000" b="0" i="0" u="none" strike="noStrike" baseline="0">
                    <a:solidFill>
                      <a:srgbClr val="000000"/>
                    </a:solidFill>
                    <a:latin typeface="ＭＳ Ｐ明朝"/>
                    <a:ea typeface="ＭＳ Ｐ明朝"/>
                  </a:rPr>
                  <a:t>円/ドル</a:t>
                </a:r>
              </a:p>
            </c:rich>
          </c:tx>
          <c:layout>
            <c:manualLayout>
              <c:xMode val="edge"/>
              <c:yMode val="edge"/>
              <c:x val="2.460686769364559E-2"/>
              <c:y val="6.6836883237538808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in"/>
        <c:minorTickMark val="none"/>
        <c:tickLblPos val="nextTo"/>
        <c:spPr>
          <a:ln w="3175" cmpd="sng">
            <a:solidFill>
              <a:srgbClr val="000000"/>
            </a:solidFill>
            <a:prstDash val="sysDot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ＭＳ Ｐ明朝"/>
                <a:ea typeface="ＭＳ Ｐ明朝"/>
                <a:cs typeface="ＭＳ Ｐ明朝"/>
              </a:defRPr>
            </a:pPr>
            <a:endParaRPr lang="ja-JP"/>
          </a:p>
        </c:txPr>
        <c:crossAx val="103341440"/>
        <c:crosses val="autoZero"/>
        <c:crossBetween val="between"/>
        <c:majorUnit val="2"/>
      </c:valAx>
      <c:spPr>
        <a:solidFill>
          <a:srgbClr val="FFFFFF"/>
        </a:solidFill>
        <a:ln w="9525" cmpd="sng">
          <a:solidFill>
            <a:schemeClr val="tx1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0.34231</cdr:x>
      <cdr:y>0</cdr:y>
    </cdr:from>
    <cdr:to>
      <cdr:x>0.63369</cdr:x>
      <cdr:y>0.10371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1929340" y="0"/>
          <a:ext cx="1642294" cy="307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ja-JP" altLang="en-US" sz="1600">
              <a:latin typeface="ＭＳ Ｐ明朝" pitchFamily="18" charset="-128"/>
              <a:ea typeface="ＭＳ Ｐ明朝" pitchFamily="18" charset="-128"/>
            </a:rPr>
            <a:t>　　　とうもろこしシカゴ定期の推移</a:t>
          </a:r>
        </a:p>
      </cdr:txBody>
    </cdr:sp>
  </cdr:relSizeAnchor>
  <cdr:relSizeAnchor xmlns:cdr="http://schemas.openxmlformats.org/drawingml/2006/chartDrawing">
    <cdr:from>
      <cdr:x>0.02321</cdr:x>
      <cdr:y>0.01825</cdr:y>
    </cdr:from>
    <cdr:to>
      <cdr:x>0.1836</cdr:x>
      <cdr:y>0.09792</cdr:y>
    </cdr:to>
    <cdr:sp macro="" textlink="">
      <cdr:nvSpPr>
        <cdr:cNvPr id="3" name="テキスト ボックス 2"/>
        <cdr:cNvSpPr txBox="1"/>
      </cdr:nvSpPr>
      <cdr:spPr>
        <a:xfrm xmlns:a="http://schemas.openxmlformats.org/drawingml/2006/main">
          <a:off x="130243" y="63596"/>
          <a:ext cx="900163" cy="2775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ja-JP" altLang="en-US" sz="1050">
              <a:latin typeface="ＭＳ Ｐ明朝" pitchFamily="18" charset="-128"/>
              <a:ea typeface="ＭＳ Ｐ明朝" pitchFamily="18" charset="-128"/>
            </a:rPr>
            <a:t>セント</a:t>
          </a:r>
          <a:r>
            <a:rPr lang="en-US" altLang="ja-JP" sz="1050">
              <a:latin typeface="ＭＳ Ｐ明朝" pitchFamily="18" charset="-128"/>
              <a:ea typeface="ＭＳ Ｐ明朝" pitchFamily="18" charset="-128"/>
            </a:rPr>
            <a:t>/</a:t>
          </a:r>
          <a:r>
            <a:rPr lang="ja-JP" altLang="en-US" sz="1050">
              <a:latin typeface="ＭＳ Ｐ明朝" pitchFamily="18" charset="-128"/>
              <a:ea typeface="ＭＳ Ｐ明朝" pitchFamily="18" charset="-128"/>
            </a:rPr>
            <a:t>ブッシェル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ホクレン農業協同組合連合会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M4162E</dc:creator>
  <cp:lastModifiedBy>L4162B</cp:lastModifiedBy>
  <cp:revision>5</cp:revision>
  <cp:lastPrinted>2017-06-16T07:09:00Z</cp:lastPrinted>
  <dcterms:created xsi:type="dcterms:W3CDTF">2017-06-16T06:55:00Z</dcterms:created>
  <dcterms:modified xsi:type="dcterms:W3CDTF">2017-06-16T07:31:00Z</dcterms:modified>
</cp:coreProperties>
</file>