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drawings/drawing1.xml" ContentType="application/vnd.openxmlformats-officedocument.drawingml.chartshapes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685" w:rsidRDefault="00927150">
      <w:r>
        <w:rPr>
          <w:noProof/>
        </w:rPr>
        <w:drawing>
          <wp:inline distT="0" distB="0" distL="0" distR="0" wp14:anchorId="6DD1AAEF" wp14:editId="1F97780E">
            <wp:extent cx="6696075" cy="3114675"/>
            <wp:effectExtent l="0" t="0" r="0" b="0"/>
            <wp:docPr id="11" name="グラフ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  <w:bookmarkStart w:id="0" w:name="_GoBack"/>
      <w:bookmarkEnd w:id="0"/>
      <w:r w:rsidR="003C547E">
        <w:rPr>
          <w:noProof/>
        </w:rPr>
        <w:drawing>
          <wp:anchor distT="0" distB="0" distL="114300" distR="114300" simplePos="0" relativeHeight="251658240" behindDoc="0" locked="0" layoutInCell="1" allowOverlap="1" wp14:anchorId="7457FF99" wp14:editId="6EF596A0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6667500" cy="3124200"/>
            <wp:effectExtent l="0" t="0" r="0" b="0"/>
            <wp:wrapSquare wrapText="bothSides"/>
            <wp:docPr id="1" name="グラフ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anchor>
        </w:drawing>
      </w:r>
    </w:p>
    <w:p w:rsidR="00A91685" w:rsidRPr="00A91685" w:rsidRDefault="00476E2A" w:rsidP="009661F5">
      <w:r>
        <w:rPr>
          <w:noProof/>
        </w:rPr>
        <w:drawing>
          <wp:inline distT="0" distB="0" distL="0" distR="0" wp14:anchorId="4DC3354A" wp14:editId="54E03CA9">
            <wp:extent cx="6477000" cy="3171825"/>
            <wp:effectExtent l="0" t="0" r="0" b="0"/>
            <wp:docPr id="7" name="グラフ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sectPr w:rsidR="00A91685" w:rsidRPr="00A91685" w:rsidSect="003C547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12F0" w:rsidRDefault="003C12F0" w:rsidP="00750313">
      <w:r>
        <w:separator/>
      </w:r>
    </w:p>
  </w:endnote>
  <w:endnote w:type="continuationSeparator" w:id="0">
    <w:p w:rsidR="003C12F0" w:rsidRDefault="003C12F0" w:rsidP="00750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12F0" w:rsidRDefault="003C12F0" w:rsidP="00750313">
      <w:r>
        <w:separator/>
      </w:r>
    </w:p>
  </w:footnote>
  <w:footnote w:type="continuationSeparator" w:id="0">
    <w:p w:rsidR="003C12F0" w:rsidRDefault="003C12F0" w:rsidP="007503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47E"/>
    <w:rsid w:val="00026E87"/>
    <w:rsid w:val="0006280D"/>
    <w:rsid w:val="00071106"/>
    <w:rsid w:val="0009561C"/>
    <w:rsid w:val="000A5857"/>
    <w:rsid w:val="00107721"/>
    <w:rsid w:val="00110BD2"/>
    <w:rsid w:val="001241FF"/>
    <w:rsid w:val="00155376"/>
    <w:rsid w:val="001655A1"/>
    <w:rsid w:val="001C45A1"/>
    <w:rsid w:val="001F0B1E"/>
    <w:rsid w:val="002215F9"/>
    <w:rsid w:val="002232DE"/>
    <w:rsid w:val="0026409B"/>
    <w:rsid w:val="00270874"/>
    <w:rsid w:val="0028158C"/>
    <w:rsid w:val="0029108B"/>
    <w:rsid w:val="00295055"/>
    <w:rsid w:val="002B00A3"/>
    <w:rsid w:val="00301C4A"/>
    <w:rsid w:val="00305766"/>
    <w:rsid w:val="003360D7"/>
    <w:rsid w:val="00374BD6"/>
    <w:rsid w:val="003A0DA5"/>
    <w:rsid w:val="003A168C"/>
    <w:rsid w:val="003A45C4"/>
    <w:rsid w:val="003B4175"/>
    <w:rsid w:val="003C12F0"/>
    <w:rsid w:val="003C547E"/>
    <w:rsid w:val="003F4F72"/>
    <w:rsid w:val="003F6030"/>
    <w:rsid w:val="00403E08"/>
    <w:rsid w:val="00405A1E"/>
    <w:rsid w:val="0041523D"/>
    <w:rsid w:val="00423E5F"/>
    <w:rsid w:val="0045056F"/>
    <w:rsid w:val="004768AA"/>
    <w:rsid w:val="00476E2A"/>
    <w:rsid w:val="00484D81"/>
    <w:rsid w:val="004B0535"/>
    <w:rsid w:val="004D5A7F"/>
    <w:rsid w:val="004D7C7F"/>
    <w:rsid w:val="004E625C"/>
    <w:rsid w:val="004F6BD9"/>
    <w:rsid w:val="00540000"/>
    <w:rsid w:val="00542FE3"/>
    <w:rsid w:val="005931A4"/>
    <w:rsid w:val="005B358B"/>
    <w:rsid w:val="005E36D9"/>
    <w:rsid w:val="00602EC0"/>
    <w:rsid w:val="00614E46"/>
    <w:rsid w:val="00623F87"/>
    <w:rsid w:val="00681265"/>
    <w:rsid w:val="00704557"/>
    <w:rsid w:val="007300B7"/>
    <w:rsid w:val="00743A9A"/>
    <w:rsid w:val="00750313"/>
    <w:rsid w:val="00793B81"/>
    <w:rsid w:val="007C7341"/>
    <w:rsid w:val="007E436A"/>
    <w:rsid w:val="0081277F"/>
    <w:rsid w:val="00836616"/>
    <w:rsid w:val="00856B3C"/>
    <w:rsid w:val="00867BAC"/>
    <w:rsid w:val="00874853"/>
    <w:rsid w:val="00927150"/>
    <w:rsid w:val="00944777"/>
    <w:rsid w:val="00960E52"/>
    <w:rsid w:val="00961BA1"/>
    <w:rsid w:val="009661F5"/>
    <w:rsid w:val="009B0066"/>
    <w:rsid w:val="009B4733"/>
    <w:rsid w:val="009C37B0"/>
    <w:rsid w:val="009C7C76"/>
    <w:rsid w:val="009E2698"/>
    <w:rsid w:val="00A01EAC"/>
    <w:rsid w:val="00A2349A"/>
    <w:rsid w:val="00A24F83"/>
    <w:rsid w:val="00A25B45"/>
    <w:rsid w:val="00A37797"/>
    <w:rsid w:val="00A91685"/>
    <w:rsid w:val="00AD039C"/>
    <w:rsid w:val="00AF42C4"/>
    <w:rsid w:val="00B161E0"/>
    <w:rsid w:val="00B65690"/>
    <w:rsid w:val="00BC7812"/>
    <w:rsid w:val="00C03B64"/>
    <w:rsid w:val="00C91D94"/>
    <w:rsid w:val="00C975C4"/>
    <w:rsid w:val="00CA00B9"/>
    <w:rsid w:val="00CB255B"/>
    <w:rsid w:val="00CD5165"/>
    <w:rsid w:val="00CE6950"/>
    <w:rsid w:val="00D92231"/>
    <w:rsid w:val="00DD5AD8"/>
    <w:rsid w:val="00DE2E71"/>
    <w:rsid w:val="00DE3761"/>
    <w:rsid w:val="00DE7F39"/>
    <w:rsid w:val="00E277BB"/>
    <w:rsid w:val="00E35AC2"/>
    <w:rsid w:val="00E957FE"/>
    <w:rsid w:val="00E9718B"/>
    <w:rsid w:val="00EC32EF"/>
    <w:rsid w:val="00EC55CD"/>
    <w:rsid w:val="00EE0675"/>
    <w:rsid w:val="00F26C1A"/>
    <w:rsid w:val="00F37E55"/>
    <w:rsid w:val="00F614AD"/>
    <w:rsid w:val="00F8021D"/>
    <w:rsid w:val="00F94338"/>
    <w:rsid w:val="00FD1BB8"/>
    <w:rsid w:val="00FD2872"/>
    <w:rsid w:val="00FE4BBE"/>
    <w:rsid w:val="00FF24E4"/>
    <w:rsid w:val="00FF4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547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3C547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5031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750313"/>
  </w:style>
  <w:style w:type="paragraph" w:styleId="a7">
    <w:name w:val="footer"/>
    <w:basedOn w:val="a"/>
    <w:link w:val="a8"/>
    <w:uiPriority w:val="99"/>
    <w:unhideWhenUsed/>
    <w:rsid w:val="00750313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7503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547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3C547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5031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750313"/>
  </w:style>
  <w:style w:type="paragraph" w:styleId="a7">
    <w:name w:val="footer"/>
    <w:basedOn w:val="a"/>
    <w:link w:val="a8"/>
    <w:uiPriority w:val="99"/>
    <w:unhideWhenUsed/>
    <w:rsid w:val="00750313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7503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hart" Target="charts/chart3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6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600"/>
              <a:t>大豆粕シカゴ定期の推移</a:t>
            </a:r>
          </a:p>
        </c:rich>
      </c:tx>
      <c:layout>
        <c:manualLayout>
          <c:xMode val="edge"/>
          <c:yMode val="edge"/>
          <c:x val="0.3322361234006489"/>
          <c:y val="2.2336198800837967E-3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13516715410573679"/>
          <c:y val="0.13526818552069705"/>
          <c:w val="0.79776692913385827"/>
          <c:h val="0.61746369478109919"/>
        </c:manualLayout>
      </c:layout>
      <c:lineChart>
        <c:grouping val="standard"/>
        <c:varyColors val="0"/>
        <c:ser>
          <c:idx val="1"/>
          <c:order val="0"/>
          <c:spPr>
            <a:ln w="12700">
              <a:solidFill>
                <a:schemeClr val="tx1"/>
              </a:solidFill>
              <a:prstDash val="solid"/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  <a:prstDash val="solid"/>
              </a:ln>
            </c:spPr>
          </c:marker>
          <c:cat>
            <c:numRef>
              <c:f>チャート!$AP$391:$AP$415</c:f>
              <c:numCache>
                <c:formatCode>m"月"d"日"</c:formatCode>
                <c:ptCount val="25"/>
                <c:pt idx="0">
                  <c:v>42916</c:v>
                </c:pt>
                <c:pt idx="1">
                  <c:v>42923</c:v>
                </c:pt>
                <c:pt idx="2">
                  <c:v>42930</c:v>
                </c:pt>
                <c:pt idx="3">
                  <c:v>42937</c:v>
                </c:pt>
                <c:pt idx="4">
                  <c:v>42944</c:v>
                </c:pt>
                <c:pt idx="5">
                  <c:v>42951</c:v>
                </c:pt>
                <c:pt idx="6">
                  <c:v>42958</c:v>
                </c:pt>
                <c:pt idx="7">
                  <c:v>42965</c:v>
                </c:pt>
                <c:pt idx="8">
                  <c:v>42972</c:v>
                </c:pt>
                <c:pt idx="9">
                  <c:v>42979</c:v>
                </c:pt>
                <c:pt idx="10">
                  <c:v>42986</c:v>
                </c:pt>
                <c:pt idx="11">
                  <c:v>42993</c:v>
                </c:pt>
                <c:pt idx="12">
                  <c:v>43000</c:v>
                </c:pt>
                <c:pt idx="13">
                  <c:v>43007</c:v>
                </c:pt>
                <c:pt idx="14">
                  <c:v>43014</c:v>
                </c:pt>
                <c:pt idx="15">
                  <c:v>43021</c:v>
                </c:pt>
                <c:pt idx="16">
                  <c:v>43028</c:v>
                </c:pt>
                <c:pt idx="17">
                  <c:v>43035</c:v>
                </c:pt>
                <c:pt idx="18">
                  <c:v>43042</c:v>
                </c:pt>
                <c:pt idx="19">
                  <c:v>43049</c:v>
                </c:pt>
                <c:pt idx="20">
                  <c:v>43056</c:v>
                </c:pt>
                <c:pt idx="21">
                  <c:v>43063</c:v>
                </c:pt>
                <c:pt idx="22">
                  <c:v>43070</c:v>
                </c:pt>
                <c:pt idx="23">
                  <c:v>43074</c:v>
                </c:pt>
                <c:pt idx="24">
                  <c:v>43077</c:v>
                </c:pt>
              </c:numCache>
            </c:numRef>
          </c:cat>
          <c:val>
            <c:numRef>
              <c:f>チャート!$AQ$391:$AQ$415</c:f>
              <c:numCache>
                <c:formatCode>#,##0.00_);[Red]\(#,##0.00\)</c:formatCode>
                <c:ptCount val="25"/>
                <c:pt idx="0">
                  <c:v>335.54012</c:v>
                </c:pt>
                <c:pt idx="1">
                  <c:v>362.10554999999999</c:v>
                </c:pt>
                <c:pt idx="2">
                  <c:v>355.27129000000002</c:v>
                </c:pt>
                <c:pt idx="3">
                  <c:v>363.42831000000001</c:v>
                </c:pt>
                <c:pt idx="4">
                  <c:v>353.8383</c:v>
                </c:pt>
                <c:pt idx="5">
                  <c:v>334.54804999999999</c:v>
                </c:pt>
                <c:pt idx="6">
                  <c:v>328.59563000000003</c:v>
                </c:pt>
                <c:pt idx="7">
                  <c:v>327.60356000000002</c:v>
                </c:pt>
                <c:pt idx="8">
                  <c:v>326.72172</c:v>
                </c:pt>
                <c:pt idx="9">
                  <c:v>323.19436000000002</c:v>
                </c:pt>
                <c:pt idx="10">
                  <c:v>331.68207000000001</c:v>
                </c:pt>
                <c:pt idx="11">
                  <c:v>343.25621999999998</c:v>
                </c:pt>
                <c:pt idx="12">
                  <c:v>347.22450000000003</c:v>
                </c:pt>
                <c:pt idx="13">
                  <c:v>343.36645000000004</c:v>
                </c:pt>
                <c:pt idx="14">
                  <c:v>347.22450000000003</c:v>
                </c:pt>
                <c:pt idx="15">
                  <c:v>357.69635</c:v>
                </c:pt>
                <c:pt idx="16">
                  <c:v>349.53933000000006</c:v>
                </c:pt>
                <c:pt idx="17">
                  <c:v>344.02783000000005</c:v>
                </c:pt>
                <c:pt idx="18">
                  <c:v>346.01197000000002</c:v>
                </c:pt>
                <c:pt idx="19">
                  <c:v>346.67335000000003</c:v>
                </c:pt>
                <c:pt idx="20">
                  <c:v>350.75186000000002</c:v>
                </c:pt>
                <c:pt idx="21">
                  <c:v>355.82244000000003</c:v>
                </c:pt>
                <c:pt idx="22">
                  <c:v>361.77485999999999</c:v>
                </c:pt>
                <c:pt idx="23">
                  <c:v>362.76499999999999</c:v>
                </c:pt>
                <c:pt idx="24">
                  <c:v>363.75900000000001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8259712"/>
        <c:axId val="106673280"/>
      </c:lineChart>
      <c:catAx>
        <c:axId val="38259712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952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06673280"/>
        <c:crosses val="autoZero"/>
        <c:auto val="0"/>
        <c:lblAlgn val="ctr"/>
        <c:lblOffset val="100"/>
        <c:tickLblSkip val="2"/>
        <c:tickMarkSkip val="2"/>
        <c:noMultiLvlLbl val="0"/>
      </c:catAx>
      <c:valAx>
        <c:axId val="106673280"/>
        <c:scaling>
          <c:orientation val="minMax"/>
          <c:max val="370"/>
          <c:min val="320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000" b="0" i="0" u="none" strike="noStrike" baseline="0">
                    <a:solidFill>
                      <a:srgbClr val="000000"/>
                    </a:solidFill>
                    <a:latin typeface="ＭＳ Ｐゴシック"/>
                    <a:ea typeface="ＭＳ Ｐゴシック"/>
                    <a:cs typeface="ＭＳ Ｐゴシック"/>
                  </a:defRPr>
                </a:pPr>
                <a:r>
                  <a:rPr lang="ja-JP" altLang="en-US" sz="1000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ドル/トン</a:t>
                </a:r>
              </a:p>
            </c:rich>
          </c:tx>
          <c:layout>
            <c:manualLayout>
              <c:xMode val="edge"/>
              <c:yMode val="edge"/>
              <c:x val="7.6702212223472052E-2"/>
              <c:y val="3.7923629452274579E-2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9525">
            <a:solidFill>
              <a:srgbClr val="000000"/>
            </a:solidFill>
            <a:prstDash val="sysDot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38259712"/>
        <c:crosses val="autoZero"/>
        <c:crossBetween val="between"/>
        <c:majorUnit val="10"/>
        <c:minorUnit val="10"/>
      </c:valAx>
      <c:spPr>
        <a:solidFill>
          <a:srgbClr val="FFFFFF"/>
        </a:solidFill>
        <a:ln w="9525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3546021747281589"/>
          <c:y val="0.15157918958760291"/>
          <c:w val="0.79991091113610802"/>
          <c:h val="0.60939056398437996"/>
        </c:manualLayout>
      </c:layout>
      <c:lineChart>
        <c:grouping val="standard"/>
        <c:varyColors val="0"/>
        <c:ser>
          <c:idx val="0"/>
          <c:order val="0"/>
          <c:tx>
            <c:strRef>
              <c:f>チャート!$B$35</c:f>
              <c:strCache>
                <c:ptCount val="1"/>
                <c:pt idx="0">
                  <c:v>３月限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dPt>
            <c:idx val="21"/>
            <c:marker>
              <c:spPr>
                <a:solidFill>
                  <a:schemeClr val="tx1"/>
                </a:solidFill>
                <a:ln w="3175">
                  <a:solidFill>
                    <a:schemeClr val="tx1"/>
                  </a:solidFill>
                </a:ln>
              </c:spPr>
            </c:marker>
            <c:bubble3D val="0"/>
          </c:dPt>
          <c:cat>
            <c:numRef>
              <c:f>チャート!$A$391:$A$415</c:f>
              <c:numCache>
                <c:formatCode>m"月"d"日"</c:formatCode>
                <c:ptCount val="25"/>
                <c:pt idx="0">
                  <c:v>42916</c:v>
                </c:pt>
                <c:pt idx="1">
                  <c:v>42923</c:v>
                </c:pt>
                <c:pt idx="2">
                  <c:v>42930</c:v>
                </c:pt>
                <c:pt idx="3">
                  <c:v>42937</c:v>
                </c:pt>
                <c:pt idx="4">
                  <c:v>42944</c:v>
                </c:pt>
                <c:pt idx="5">
                  <c:v>42951</c:v>
                </c:pt>
                <c:pt idx="6">
                  <c:v>42958</c:v>
                </c:pt>
                <c:pt idx="7">
                  <c:v>42965</c:v>
                </c:pt>
                <c:pt idx="8">
                  <c:v>42972</c:v>
                </c:pt>
                <c:pt idx="9">
                  <c:v>42979</c:v>
                </c:pt>
                <c:pt idx="10">
                  <c:v>42986</c:v>
                </c:pt>
                <c:pt idx="11">
                  <c:v>42993</c:v>
                </c:pt>
                <c:pt idx="12">
                  <c:v>43000</c:v>
                </c:pt>
                <c:pt idx="13">
                  <c:v>43007</c:v>
                </c:pt>
                <c:pt idx="14">
                  <c:v>43014</c:v>
                </c:pt>
                <c:pt idx="15">
                  <c:v>43021</c:v>
                </c:pt>
                <c:pt idx="16">
                  <c:v>43028</c:v>
                </c:pt>
                <c:pt idx="17">
                  <c:v>43035</c:v>
                </c:pt>
                <c:pt idx="18">
                  <c:v>43042</c:v>
                </c:pt>
                <c:pt idx="19">
                  <c:v>43049</c:v>
                </c:pt>
                <c:pt idx="20">
                  <c:v>43056</c:v>
                </c:pt>
                <c:pt idx="21">
                  <c:v>43063</c:v>
                </c:pt>
                <c:pt idx="22">
                  <c:v>43070</c:v>
                </c:pt>
                <c:pt idx="23">
                  <c:v>43074</c:v>
                </c:pt>
                <c:pt idx="24">
                  <c:v>43077</c:v>
                </c:pt>
              </c:numCache>
            </c:numRef>
          </c:cat>
          <c:val>
            <c:numRef>
              <c:f>チャート!$B$391:$B$415</c:f>
              <c:numCache>
                <c:formatCode>General</c:formatCode>
                <c:ptCount val="25"/>
                <c:pt idx="11">
                  <c:v>375.75</c:v>
                </c:pt>
                <c:pt idx="12">
                  <c:v>366</c:v>
                </c:pt>
                <c:pt idx="13">
                  <c:v>367.75</c:v>
                </c:pt>
                <c:pt idx="14">
                  <c:v>363.25</c:v>
                </c:pt>
                <c:pt idx="15">
                  <c:v>366.5</c:v>
                </c:pt>
                <c:pt idx="16">
                  <c:v>358.5</c:v>
                </c:pt>
                <c:pt idx="17">
                  <c:v>362.5</c:v>
                </c:pt>
                <c:pt idx="18">
                  <c:v>362</c:v>
                </c:pt>
                <c:pt idx="19">
                  <c:v>356.75</c:v>
                </c:pt>
                <c:pt idx="20">
                  <c:v>355</c:v>
                </c:pt>
                <c:pt idx="21">
                  <c:v>355</c:v>
                </c:pt>
                <c:pt idx="22">
                  <c:v>358.75</c:v>
                </c:pt>
                <c:pt idx="23">
                  <c:v>355.75</c:v>
                </c:pt>
                <c:pt idx="24">
                  <c:v>352.75</c:v>
                </c:pt>
              </c:numCache>
            </c:numRef>
          </c:val>
          <c:smooth val="0"/>
        </c:ser>
        <c:ser>
          <c:idx val="2"/>
          <c:order val="1"/>
          <c:tx>
            <c:strRef>
              <c:f>チャート!$F$35</c:f>
              <c:strCache>
                <c:ptCount val="1"/>
                <c:pt idx="0">
                  <c:v>１２月限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square"/>
            <c:size val="5"/>
            <c:spPr>
              <a:solidFill>
                <a:schemeClr val="tx1"/>
              </a:solidFill>
              <a:ln w="3175">
                <a:solidFill>
                  <a:schemeClr val="tx1"/>
                </a:solidFill>
              </a:ln>
            </c:spPr>
          </c:marker>
          <c:cat>
            <c:numRef>
              <c:f>チャート!$A$391:$A$415</c:f>
              <c:numCache>
                <c:formatCode>m"月"d"日"</c:formatCode>
                <c:ptCount val="25"/>
                <c:pt idx="0">
                  <c:v>42916</c:v>
                </c:pt>
                <c:pt idx="1">
                  <c:v>42923</c:v>
                </c:pt>
                <c:pt idx="2">
                  <c:v>42930</c:v>
                </c:pt>
                <c:pt idx="3">
                  <c:v>42937</c:v>
                </c:pt>
                <c:pt idx="4">
                  <c:v>42944</c:v>
                </c:pt>
                <c:pt idx="5">
                  <c:v>42951</c:v>
                </c:pt>
                <c:pt idx="6">
                  <c:v>42958</c:v>
                </c:pt>
                <c:pt idx="7">
                  <c:v>42965</c:v>
                </c:pt>
                <c:pt idx="8">
                  <c:v>42972</c:v>
                </c:pt>
                <c:pt idx="9">
                  <c:v>42979</c:v>
                </c:pt>
                <c:pt idx="10">
                  <c:v>42986</c:v>
                </c:pt>
                <c:pt idx="11">
                  <c:v>42993</c:v>
                </c:pt>
                <c:pt idx="12">
                  <c:v>43000</c:v>
                </c:pt>
                <c:pt idx="13">
                  <c:v>43007</c:v>
                </c:pt>
                <c:pt idx="14">
                  <c:v>43014</c:v>
                </c:pt>
                <c:pt idx="15">
                  <c:v>43021</c:v>
                </c:pt>
                <c:pt idx="16">
                  <c:v>43028</c:v>
                </c:pt>
                <c:pt idx="17">
                  <c:v>43035</c:v>
                </c:pt>
                <c:pt idx="18">
                  <c:v>43042</c:v>
                </c:pt>
                <c:pt idx="19">
                  <c:v>43049</c:v>
                </c:pt>
                <c:pt idx="20">
                  <c:v>43056</c:v>
                </c:pt>
                <c:pt idx="21">
                  <c:v>43063</c:v>
                </c:pt>
                <c:pt idx="22">
                  <c:v>43070</c:v>
                </c:pt>
                <c:pt idx="23">
                  <c:v>43074</c:v>
                </c:pt>
                <c:pt idx="24">
                  <c:v>43077</c:v>
                </c:pt>
              </c:numCache>
            </c:numRef>
          </c:cat>
          <c:val>
            <c:numRef>
              <c:f>チャート!$F$391:$F$415</c:f>
              <c:numCache>
                <c:formatCode>General</c:formatCode>
                <c:ptCount val="25"/>
                <c:pt idx="1">
                  <c:v>404.75</c:v>
                </c:pt>
                <c:pt idx="2">
                  <c:v>389.5</c:v>
                </c:pt>
                <c:pt idx="3">
                  <c:v>393.5</c:v>
                </c:pt>
                <c:pt idx="4">
                  <c:v>388</c:v>
                </c:pt>
                <c:pt idx="5">
                  <c:v>381</c:v>
                </c:pt>
                <c:pt idx="6">
                  <c:v>374.75</c:v>
                </c:pt>
                <c:pt idx="7">
                  <c:v>365.75</c:v>
                </c:pt>
                <c:pt idx="8">
                  <c:v>353.5</c:v>
                </c:pt>
                <c:pt idx="9">
                  <c:v>355.25</c:v>
                </c:pt>
                <c:pt idx="10">
                  <c:v>356.75</c:v>
                </c:pt>
                <c:pt idx="11">
                  <c:v>356.25</c:v>
                </c:pt>
                <c:pt idx="12">
                  <c:v>353.5</c:v>
                </c:pt>
                <c:pt idx="13">
                  <c:v>355.25</c:v>
                </c:pt>
                <c:pt idx="14">
                  <c:v>350</c:v>
                </c:pt>
                <c:pt idx="15">
                  <c:v>352.75</c:v>
                </c:pt>
                <c:pt idx="16">
                  <c:v>344.5</c:v>
                </c:pt>
                <c:pt idx="17">
                  <c:v>348.75</c:v>
                </c:pt>
                <c:pt idx="18">
                  <c:v>348.25</c:v>
                </c:pt>
                <c:pt idx="19">
                  <c:v>343.5</c:v>
                </c:pt>
                <c:pt idx="20">
                  <c:v>343</c:v>
                </c:pt>
                <c:pt idx="21">
                  <c:v>342.25</c:v>
                </c:pt>
                <c:pt idx="22">
                  <c:v>344.75</c:v>
                </c:pt>
                <c:pt idx="23">
                  <c:v>337.375</c:v>
                </c:pt>
                <c:pt idx="24">
                  <c:v>340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08034304"/>
        <c:axId val="108044672"/>
      </c:lineChart>
      <c:catAx>
        <c:axId val="108034304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>
            <a:solidFill>
              <a:srgbClr val="000000"/>
            </a:solidFill>
          </a:ln>
        </c:spPr>
        <c:txPr>
          <a:bodyPr rot="-2700000" vert="horz"/>
          <a:lstStyle/>
          <a:p>
            <a:pPr>
              <a:defRPr sz="1200">
                <a:solidFill>
                  <a:sysClr val="windowText" lastClr="000000"/>
                </a:solidFill>
              </a:defRPr>
            </a:pPr>
            <a:endParaRPr lang="ja-JP"/>
          </a:p>
        </c:txPr>
        <c:crossAx val="108044672"/>
        <c:crosses val="autoZero"/>
        <c:auto val="0"/>
        <c:lblAlgn val="ctr"/>
        <c:lblOffset val="100"/>
        <c:tickLblSkip val="2"/>
        <c:tickMarkSkip val="2"/>
        <c:noMultiLvlLbl val="0"/>
      </c:catAx>
      <c:valAx>
        <c:axId val="108044672"/>
        <c:scaling>
          <c:orientation val="minMax"/>
          <c:max val="410"/>
          <c:min val="330"/>
        </c:scaling>
        <c:delete val="0"/>
        <c:axPos val="l"/>
        <c:majorGridlines>
          <c:spPr>
            <a:ln w="3175">
              <a:solidFill>
                <a:schemeClr val="tx1"/>
              </a:solidFill>
              <a:prstDash val="sysDot"/>
            </a:ln>
          </c:spPr>
        </c:majorGridlines>
        <c:numFmt formatCode="General" sourceLinked="1"/>
        <c:majorTickMark val="none"/>
        <c:minorTickMark val="none"/>
        <c:tickLblPos val="nextTo"/>
        <c:spPr>
          <a:ln>
            <a:solidFill>
              <a:schemeClr val="tx1"/>
            </a:solidFill>
          </a:ln>
        </c:spPr>
        <c:txPr>
          <a:bodyPr/>
          <a:lstStyle/>
          <a:p>
            <a:pPr>
              <a:defRPr sz="1200"/>
            </a:pPr>
            <a:endParaRPr lang="ja-JP"/>
          </a:p>
        </c:txPr>
        <c:crossAx val="108034304"/>
        <c:crosses val="autoZero"/>
        <c:crossBetween val="between"/>
        <c:minorUnit val="20"/>
      </c:valAx>
      <c:spPr>
        <a:ln w="9525">
          <a:solidFill>
            <a:schemeClr val="tx1"/>
          </a:solidFill>
        </a:ln>
      </c:spPr>
    </c:plotArea>
    <c:legend>
      <c:legendPos val="r"/>
      <c:layout>
        <c:manualLayout>
          <c:xMode val="edge"/>
          <c:yMode val="edge"/>
          <c:x val="0.77002549681289834"/>
          <c:y val="0.17291511163844245"/>
          <c:w val="0.14085999250093736"/>
          <c:h val="0.13981979386723004"/>
        </c:manualLayout>
      </c:layout>
      <c:overlay val="0"/>
      <c:spPr>
        <a:solidFill>
          <a:schemeClr val="bg1"/>
        </a:solidFill>
        <a:ln>
          <a:solidFill>
            <a:schemeClr val="tx1"/>
          </a:solidFill>
        </a:ln>
      </c:spPr>
      <c:txPr>
        <a:bodyPr/>
        <a:lstStyle/>
        <a:p>
          <a:pPr>
            <a:defRPr sz="1000"/>
          </a:pPr>
          <a:endParaRPr lang="ja-JP"/>
        </a:p>
      </c:txPr>
    </c:legend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ＭＳ Ｐ明朝" pitchFamily="18" charset="-128"/>
          <a:ea typeface="ＭＳ Ｐ明朝" pitchFamily="18" charset="-128"/>
        </a:defRPr>
      </a:pPr>
      <a:endParaRPr lang="ja-JP"/>
    </a:p>
  </c:txPr>
  <c:externalData r:id="rId1">
    <c:autoUpdate val="0"/>
  </c:externalData>
  <c:userShapes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25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600"/>
              <a:t>ドル円為替相場（東京市場対顧客電信相場</a:t>
            </a:r>
            <a:r>
              <a:rPr lang="ja-JP" altLang="en-US" sz="1800"/>
              <a:t>）</a:t>
            </a:r>
          </a:p>
        </c:rich>
      </c:tx>
      <c:layout>
        <c:manualLayout>
          <c:xMode val="edge"/>
          <c:yMode val="edge"/>
          <c:x val="0.23931434306005867"/>
          <c:y val="6.2519212125511446E-4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14393422880963408"/>
          <c:y val="0.13520960265570919"/>
          <c:w val="0.81929597035664659"/>
          <c:h val="0.57742403821143984"/>
        </c:manualLayout>
      </c:layout>
      <c:lineChart>
        <c:grouping val="standard"/>
        <c:varyColors val="0"/>
        <c:ser>
          <c:idx val="0"/>
          <c:order val="0"/>
          <c:spPr>
            <a:ln w="12700">
              <a:solidFill>
                <a:schemeClr val="tx1"/>
              </a:solidFill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チャート!$AC$391:$AC$415</c:f>
              <c:numCache>
                <c:formatCode>m"月"d"日"</c:formatCode>
                <c:ptCount val="25"/>
                <c:pt idx="0">
                  <c:v>42916</c:v>
                </c:pt>
                <c:pt idx="1">
                  <c:v>42923</c:v>
                </c:pt>
                <c:pt idx="2">
                  <c:v>42930</c:v>
                </c:pt>
                <c:pt idx="3">
                  <c:v>42937</c:v>
                </c:pt>
                <c:pt idx="4">
                  <c:v>42944</c:v>
                </c:pt>
                <c:pt idx="5">
                  <c:v>42951</c:v>
                </c:pt>
                <c:pt idx="6">
                  <c:v>42958</c:v>
                </c:pt>
                <c:pt idx="7">
                  <c:v>42965</c:v>
                </c:pt>
                <c:pt idx="8">
                  <c:v>42972</c:v>
                </c:pt>
                <c:pt idx="9">
                  <c:v>42979</c:v>
                </c:pt>
                <c:pt idx="10">
                  <c:v>42986</c:v>
                </c:pt>
                <c:pt idx="11">
                  <c:v>42993</c:v>
                </c:pt>
                <c:pt idx="12">
                  <c:v>43000</c:v>
                </c:pt>
                <c:pt idx="13">
                  <c:v>43007</c:v>
                </c:pt>
                <c:pt idx="14">
                  <c:v>43014</c:v>
                </c:pt>
                <c:pt idx="15">
                  <c:v>43021</c:v>
                </c:pt>
                <c:pt idx="16">
                  <c:v>43028</c:v>
                </c:pt>
                <c:pt idx="17">
                  <c:v>43035</c:v>
                </c:pt>
                <c:pt idx="18">
                  <c:v>43042</c:v>
                </c:pt>
                <c:pt idx="19">
                  <c:v>43049</c:v>
                </c:pt>
                <c:pt idx="20">
                  <c:v>43056</c:v>
                </c:pt>
                <c:pt idx="21">
                  <c:v>43063</c:v>
                </c:pt>
                <c:pt idx="22">
                  <c:v>43070</c:v>
                </c:pt>
                <c:pt idx="23">
                  <c:v>43074</c:v>
                </c:pt>
                <c:pt idx="24">
                  <c:v>43077</c:v>
                </c:pt>
              </c:numCache>
            </c:numRef>
          </c:cat>
          <c:val>
            <c:numRef>
              <c:f>チャート!$AD$391:$AD$415</c:f>
              <c:numCache>
                <c:formatCode>General</c:formatCode>
                <c:ptCount val="25"/>
                <c:pt idx="0">
                  <c:v>112</c:v>
                </c:pt>
                <c:pt idx="1">
                  <c:v>113.28</c:v>
                </c:pt>
                <c:pt idx="2">
                  <c:v>113.53</c:v>
                </c:pt>
                <c:pt idx="3">
                  <c:v>112.05</c:v>
                </c:pt>
                <c:pt idx="4">
                  <c:v>111.08</c:v>
                </c:pt>
                <c:pt idx="5">
                  <c:v>110</c:v>
                </c:pt>
                <c:pt idx="6">
                  <c:v>110.19</c:v>
                </c:pt>
                <c:pt idx="7">
                  <c:v>109.47</c:v>
                </c:pt>
                <c:pt idx="8">
                  <c:v>109.8</c:v>
                </c:pt>
                <c:pt idx="9">
                  <c:v>110.16</c:v>
                </c:pt>
                <c:pt idx="10">
                  <c:v>108.4</c:v>
                </c:pt>
                <c:pt idx="11">
                  <c:v>110.21</c:v>
                </c:pt>
                <c:pt idx="12">
                  <c:v>112.24</c:v>
                </c:pt>
                <c:pt idx="13">
                  <c:v>112.69</c:v>
                </c:pt>
                <c:pt idx="14">
                  <c:v>112.9</c:v>
                </c:pt>
                <c:pt idx="15">
                  <c:v>112.29</c:v>
                </c:pt>
                <c:pt idx="16">
                  <c:v>112.77</c:v>
                </c:pt>
                <c:pt idx="17">
                  <c:v>114.16</c:v>
                </c:pt>
                <c:pt idx="18">
                  <c:v>114.05</c:v>
                </c:pt>
                <c:pt idx="19">
                  <c:v>113.39</c:v>
                </c:pt>
                <c:pt idx="20">
                  <c:v>112.97</c:v>
                </c:pt>
                <c:pt idx="21">
                  <c:v>111.47</c:v>
                </c:pt>
                <c:pt idx="22">
                  <c:v>112.48</c:v>
                </c:pt>
                <c:pt idx="23">
                  <c:v>112.88500000000001</c:v>
                </c:pt>
                <c:pt idx="24">
                  <c:v>113.29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08208896"/>
        <c:axId val="108210816"/>
      </c:lineChart>
      <c:catAx>
        <c:axId val="108208896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952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08210816"/>
        <c:crosses val="autoZero"/>
        <c:auto val="0"/>
        <c:lblAlgn val="ctr"/>
        <c:lblOffset val="100"/>
        <c:tickLblSkip val="2"/>
        <c:tickMarkSkip val="2"/>
        <c:noMultiLvlLbl val="0"/>
      </c:catAx>
      <c:valAx>
        <c:axId val="108210816"/>
        <c:scaling>
          <c:orientation val="minMax"/>
          <c:max val="116"/>
          <c:min val="108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000" b="0" i="0" u="none" strike="noStrike" baseline="0">
                    <a:solidFill>
                      <a:srgbClr val="000000"/>
                    </a:solidFill>
                    <a:latin typeface="ＭＳ Ｐゴシック"/>
                    <a:ea typeface="ＭＳ Ｐゴシック"/>
                    <a:cs typeface="ＭＳ Ｐゴシック"/>
                  </a:defRPr>
                </a:pPr>
                <a:r>
                  <a:rPr lang="ja-JP" altLang="en-US" sz="1000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円/ドル</a:t>
                </a:r>
              </a:p>
            </c:rich>
          </c:tx>
          <c:layout>
            <c:manualLayout>
              <c:xMode val="edge"/>
              <c:yMode val="edge"/>
              <c:x val="8.9588852863980231E-2"/>
              <c:y val="5.6651927518069252E-2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9525">
            <a:solidFill>
              <a:srgbClr val="000000"/>
            </a:solidFill>
            <a:prstDash val="sysDot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08208896"/>
        <c:crosses val="autoZero"/>
        <c:crossBetween val="between"/>
        <c:majorUnit val="2"/>
      </c:valAx>
      <c:spPr>
        <a:solidFill>
          <a:srgbClr val="FFFFFF"/>
        </a:solidFill>
        <a:ln w="9525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0.36168</cdr:x>
      <cdr:y>0.01358</cdr:y>
    </cdr:from>
    <cdr:to>
      <cdr:x>0.65306</cdr:x>
      <cdr:y>0.12877</cdr:y>
    </cdr:to>
    <cdr:sp macro="" textlink="">
      <cdr:nvSpPr>
        <cdr:cNvPr id="2" name="テキスト ボックス 1"/>
        <cdr:cNvSpPr txBox="1"/>
      </cdr:nvSpPr>
      <cdr:spPr>
        <a:xfrm xmlns:a="http://schemas.openxmlformats.org/drawingml/2006/main">
          <a:off x="2411501" y="47213"/>
          <a:ext cx="1942777" cy="400462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 anchor="ctr"/>
        <a:lstStyle xmlns:a="http://schemas.openxmlformats.org/drawingml/2006/main"/>
        <a:p xmlns:a="http://schemas.openxmlformats.org/drawingml/2006/main">
          <a:pPr algn="ctr"/>
          <a:r>
            <a:rPr lang="ja-JP" altLang="en-US" sz="1600">
              <a:latin typeface="ＭＳ Ｐ明朝" pitchFamily="18" charset="-128"/>
              <a:ea typeface="ＭＳ Ｐ明朝" pitchFamily="18" charset="-128"/>
            </a:rPr>
            <a:t>とうもろこしシカゴ定期の推移</a:t>
          </a:r>
        </a:p>
      </cdr:txBody>
    </cdr:sp>
  </cdr:relSizeAnchor>
  <cdr:relSizeAnchor xmlns:cdr="http://schemas.openxmlformats.org/drawingml/2006/chartDrawing">
    <cdr:from>
      <cdr:x>0.04919</cdr:x>
      <cdr:y>0.05897</cdr:y>
    </cdr:from>
    <cdr:to>
      <cdr:x>0.19286</cdr:x>
      <cdr:y>0.12195</cdr:y>
    </cdr:to>
    <cdr:sp macro="" textlink="">
      <cdr:nvSpPr>
        <cdr:cNvPr id="3" name="テキスト ボックス 2"/>
        <cdr:cNvSpPr txBox="1"/>
      </cdr:nvSpPr>
      <cdr:spPr>
        <a:xfrm xmlns:a="http://schemas.openxmlformats.org/drawingml/2006/main">
          <a:off x="328004" y="184232"/>
          <a:ext cx="957872" cy="19676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pPr algn="ctr"/>
          <a:r>
            <a:rPr lang="ja-JP" altLang="en-US" sz="1000">
              <a:latin typeface="ＭＳ Ｐ明朝" pitchFamily="18" charset="-128"/>
              <a:ea typeface="ＭＳ Ｐ明朝" pitchFamily="18" charset="-128"/>
            </a:rPr>
            <a:t>セント</a:t>
          </a:r>
          <a:r>
            <a:rPr lang="en-US" altLang="ja-JP" sz="1000">
              <a:latin typeface="ＭＳ Ｐ明朝" pitchFamily="18" charset="-128"/>
              <a:ea typeface="ＭＳ Ｐ明朝" pitchFamily="18" charset="-128"/>
            </a:rPr>
            <a:t>/</a:t>
          </a:r>
          <a:r>
            <a:rPr lang="ja-JP" altLang="en-US" sz="1000">
              <a:latin typeface="ＭＳ Ｐ明朝" pitchFamily="18" charset="-128"/>
              <a:ea typeface="ＭＳ Ｐ明朝" pitchFamily="18" charset="-128"/>
            </a:rPr>
            <a:t>ブッシェル</a:t>
          </a:r>
        </a:p>
      </cdr:txBody>
    </cdr:sp>
  </cdr:relSizeAnchor>
</c:userShape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ホクレン農業協同組合連合会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M4162E</dc:creator>
  <cp:lastModifiedBy>M4162D</cp:lastModifiedBy>
  <cp:revision>11</cp:revision>
  <cp:lastPrinted>2017-12-15T07:41:00Z</cp:lastPrinted>
  <dcterms:created xsi:type="dcterms:W3CDTF">2017-12-15T06:38:00Z</dcterms:created>
  <dcterms:modified xsi:type="dcterms:W3CDTF">2017-12-15T08:08:00Z</dcterms:modified>
</cp:coreProperties>
</file>