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BE" w:rsidRDefault="0068476E">
      <w:bookmarkStart w:id="0" w:name="_GoBack"/>
      <w:bookmarkEnd w:id="0"/>
      <w:r>
        <w:rPr>
          <w:noProof/>
        </w:rPr>
        <w:drawing>
          <wp:inline distT="0" distB="0" distL="0" distR="0" wp14:anchorId="34B00784" wp14:editId="53536C44">
            <wp:extent cx="6908800" cy="3098800"/>
            <wp:effectExtent l="0" t="0" r="6350" b="635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05220" wp14:editId="5CAB40EF">
            <wp:extent cx="6908800" cy="3175000"/>
            <wp:effectExtent l="0" t="0" r="6350" b="63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B64E2">
        <w:rPr>
          <w:noProof/>
        </w:rPr>
        <w:drawing>
          <wp:inline distT="0" distB="0" distL="0" distR="0" wp14:anchorId="10E055C6" wp14:editId="09474282">
            <wp:extent cx="6908800" cy="3187700"/>
            <wp:effectExtent l="0" t="0" r="635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E4BBE" w:rsidSect="006847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6E"/>
    <w:rsid w:val="00026E87"/>
    <w:rsid w:val="00034DEA"/>
    <w:rsid w:val="0006280D"/>
    <w:rsid w:val="0009561C"/>
    <w:rsid w:val="000A4DD6"/>
    <w:rsid w:val="000A5857"/>
    <w:rsid w:val="000B26ED"/>
    <w:rsid w:val="000B2FCA"/>
    <w:rsid w:val="000C7823"/>
    <w:rsid w:val="000D7300"/>
    <w:rsid w:val="00107721"/>
    <w:rsid w:val="00107FFE"/>
    <w:rsid w:val="00110BD2"/>
    <w:rsid w:val="001241FF"/>
    <w:rsid w:val="001545BB"/>
    <w:rsid w:val="00155376"/>
    <w:rsid w:val="001655A1"/>
    <w:rsid w:val="001677BD"/>
    <w:rsid w:val="00194C2A"/>
    <w:rsid w:val="0019536F"/>
    <w:rsid w:val="001A21AC"/>
    <w:rsid w:val="001C45A1"/>
    <w:rsid w:val="001E02B7"/>
    <w:rsid w:val="001F0B1E"/>
    <w:rsid w:val="001F2585"/>
    <w:rsid w:val="00201D12"/>
    <w:rsid w:val="00206210"/>
    <w:rsid w:val="002215F9"/>
    <w:rsid w:val="002232DE"/>
    <w:rsid w:val="002261A9"/>
    <w:rsid w:val="0024159D"/>
    <w:rsid w:val="00260C21"/>
    <w:rsid w:val="00260F19"/>
    <w:rsid w:val="0026409B"/>
    <w:rsid w:val="00265860"/>
    <w:rsid w:val="00270874"/>
    <w:rsid w:val="0028158C"/>
    <w:rsid w:val="00282D7D"/>
    <w:rsid w:val="0029108B"/>
    <w:rsid w:val="00292B4C"/>
    <w:rsid w:val="00295055"/>
    <w:rsid w:val="002B00A3"/>
    <w:rsid w:val="002C016B"/>
    <w:rsid w:val="002C3FE6"/>
    <w:rsid w:val="002F463E"/>
    <w:rsid w:val="00301C4A"/>
    <w:rsid w:val="00305766"/>
    <w:rsid w:val="003102C2"/>
    <w:rsid w:val="00313479"/>
    <w:rsid w:val="00321AE2"/>
    <w:rsid w:val="00324019"/>
    <w:rsid w:val="003360D7"/>
    <w:rsid w:val="00364070"/>
    <w:rsid w:val="00374BD6"/>
    <w:rsid w:val="00374D4A"/>
    <w:rsid w:val="00380DE5"/>
    <w:rsid w:val="003A0DA5"/>
    <w:rsid w:val="003A168C"/>
    <w:rsid w:val="003A2EDF"/>
    <w:rsid w:val="003A45C4"/>
    <w:rsid w:val="003A6064"/>
    <w:rsid w:val="003A67C7"/>
    <w:rsid w:val="003B4175"/>
    <w:rsid w:val="003D79BB"/>
    <w:rsid w:val="003D7D6A"/>
    <w:rsid w:val="003E2F7C"/>
    <w:rsid w:val="003F4F72"/>
    <w:rsid w:val="003F6030"/>
    <w:rsid w:val="00403E08"/>
    <w:rsid w:val="00405A1E"/>
    <w:rsid w:val="00406F0C"/>
    <w:rsid w:val="00410D9A"/>
    <w:rsid w:val="004114D0"/>
    <w:rsid w:val="00414168"/>
    <w:rsid w:val="0041523D"/>
    <w:rsid w:val="00423E5F"/>
    <w:rsid w:val="00431349"/>
    <w:rsid w:val="00440BD0"/>
    <w:rsid w:val="00441A84"/>
    <w:rsid w:val="00442949"/>
    <w:rsid w:val="0045056F"/>
    <w:rsid w:val="00451682"/>
    <w:rsid w:val="004663C7"/>
    <w:rsid w:val="004768AA"/>
    <w:rsid w:val="0048441D"/>
    <w:rsid w:val="00484D81"/>
    <w:rsid w:val="004944F5"/>
    <w:rsid w:val="004A68DC"/>
    <w:rsid w:val="004B0535"/>
    <w:rsid w:val="004C4B2A"/>
    <w:rsid w:val="004D5A7F"/>
    <w:rsid w:val="004E557A"/>
    <w:rsid w:val="004E625C"/>
    <w:rsid w:val="004F0FAA"/>
    <w:rsid w:val="004F6BD9"/>
    <w:rsid w:val="00500D3D"/>
    <w:rsid w:val="00540000"/>
    <w:rsid w:val="00542FE3"/>
    <w:rsid w:val="0055260B"/>
    <w:rsid w:val="005926FF"/>
    <w:rsid w:val="005931A4"/>
    <w:rsid w:val="00596375"/>
    <w:rsid w:val="005B358B"/>
    <w:rsid w:val="005B5C39"/>
    <w:rsid w:val="005E29AF"/>
    <w:rsid w:val="005E36D9"/>
    <w:rsid w:val="005E38DA"/>
    <w:rsid w:val="005E3AC3"/>
    <w:rsid w:val="005E63D1"/>
    <w:rsid w:val="00602EC0"/>
    <w:rsid w:val="0060311B"/>
    <w:rsid w:val="0060618C"/>
    <w:rsid w:val="00614E46"/>
    <w:rsid w:val="00617A20"/>
    <w:rsid w:val="00623F87"/>
    <w:rsid w:val="00663A74"/>
    <w:rsid w:val="00681265"/>
    <w:rsid w:val="0068274C"/>
    <w:rsid w:val="0068476E"/>
    <w:rsid w:val="006B5729"/>
    <w:rsid w:val="006C4ECA"/>
    <w:rsid w:val="006C7666"/>
    <w:rsid w:val="006D011B"/>
    <w:rsid w:val="006D0960"/>
    <w:rsid w:val="006D0FA8"/>
    <w:rsid w:val="006E477A"/>
    <w:rsid w:val="006E566A"/>
    <w:rsid w:val="00704557"/>
    <w:rsid w:val="007300B7"/>
    <w:rsid w:val="00743A9A"/>
    <w:rsid w:val="00746EBD"/>
    <w:rsid w:val="00762E44"/>
    <w:rsid w:val="00773085"/>
    <w:rsid w:val="00781307"/>
    <w:rsid w:val="007836F2"/>
    <w:rsid w:val="00786B3A"/>
    <w:rsid w:val="00793B81"/>
    <w:rsid w:val="00796625"/>
    <w:rsid w:val="007B1E92"/>
    <w:rsid w:val="007C3804"/>
    <w:rsid w:val="007C7341"/>
    <w:rsid w:val="007D17DA"/>
    <w:rsid w:val="007E436A"/>
    <w:rsid w:val="007F39AC"/>
    <w:rsid w:val="007F6277"/>
    <w:rsid w:val="0081277F"/>
    <w:rsid w:val="00815A73"/>
    <w:rsid w:val="00836616"/>
    <w:rsid w:val="00854C9E"/>
    <w:rsid w:val="00856B3C"/>
    <w:rsid w:val="008615C4"/>
    <w:rsid w:val="00865241"/>
    <w:rsid w:val="00867BAC"/>
    <w:rsid w:val="00874853"/>
    <w:rsid w:val="00883532"/>
    <w:rsid w:val="00897DC6"/>
    <w:rsid w:val="008A2F46"/>
    <w:rsid w:val="008A5823"/>
    <w:rsid w:val="008E3D7F"/>
    <w:rsid w:val="00944777"/>
    <w:rsid w:val="0095157F"/>
    <w:rsid w:val="00953643"/>
    <w:rsid w:val="00960E52"/>
    <w:rsid w:val="00961BA1"/>
    <w:rsid w:val="00962F24"/>
    <w:rsid w:val="00962F32"/>
    <w:rsid w:val="009814AD"/>
    <w:rsid w:val="009A7AF7"/>
    <w:rsid w:val="009B0066"/>
    <w:rsid w:val="009B697A"/>
    <w:rsid w:val="009C37B0"/>
    <w:rsid w:val="009C7C76"/>
    <w:rsid w:val="009D4031"/>
    <w:rsid w:val="009E10DF"/>
    <w:rsid w:val="009E2698"/>
    <w:rsid w:val="009F642B"/>
    <w:rsid w:val="00A01EAC"/>
    <w:rsid w:val="00A2349A"/>
    <w:rsid w:val="00A24F83"/>
    <w:rsid w:val="00A2593A"/>
    <w:rsid w:val="00A25B45"/>
    <w:rsid w:val="00A37797"/>
    <w:rsid w:val="00A4167D"/>
    <w:rsid w:val="00A4201A"/>
    <w:rsid w:val="00A52C08"/>
    <w:rsid w:val="00A55C21"/>
    <w:rsid w:val="00A93535"/>
    <w:rsid w:val="00AB57A0"/>
    <w:rsid w:val="00AC3DF1"/>
    <w:rsid w:val="00AD039C"/>
    <w:rsid w:val="00AF145B"/>
    <w:rsid w:val="00AF42C4"/>
    <w:rsid w:val="00B05EFB"/>
    <w:rsid w:val="00B161E0"/>
    <w:rsid w:val="00B30791"/>
    <w:rsid w:val="00B43474"/>
    <w:rsid w:val="00B501B7"/>
    <w:rsid w:val="00B505E0"/>
    <w:rsid w:val="00B828DD"/>
    <w:rsid w:val="00B82F58"/>
    <w:rsid w:val="00B84805"/>
    <w:rsid w:val="00BA5236"/>
    <w:rsid w:val="00BB120B"/>
    <w:rsid w:val="00BB131D"/>
    <w:rsid w:val="00BB3FD4"/>
    <w:rsid w:val="00BC7812"/>
    <w:rsid w:val="00BD6096"/>
    <w:rsid w:val="00BE44A1"/>
    <w:rsid w:val="00BF00ED"/>
    <w:rsid w:val="00BF6500"/>
    <w:rsid w:val="00C022B9"/>
    <w:rsid w:val="00C03B64"/>
    <w:rsid w:val="00C418B1"/>
    <w:rsid w:val="00C66248"/>
    <w:rsid w:val="00C66D34"/>
    <w:rsid w:val="00C75D13"/>
    <w:rsid w:val="00C816AD"/>
    <w:rsid w:val="00C91D94"/>
    <w:rsid w:val="00C96646"/>
    <w:rsid w:val="00C975C4"/>
    <w:rsid w:val="00CA00B9"/>
    <w:rsid w:val="00CB255B"/>
    <w:rsid w:val="00CD1688"/>
    <w:rsid w:val="00CD5165"/>
    <w:rsid w:val="00CE6950"/>
    <w:rsid w:val="00CE73A2"/>
    <w:rsid w:val="00CF176B"/>
    <w:rsid w:val="00CF5651"/>
    <w:rsid w:val="00D00632"/>
    <w:rsid w:val="00D276FF"/>
    <w:rsid w:val="00D27F69"/>
    <w:rsid w:val="00D35859"/>
    <w:rsid w:val="00D43589"/>
    <w:rsid w:val="00D5503D"/>
    <w:rsid w:val="00D67E06"/>
    <w:rsid w:val="00D92231"/>
    <w:rsid w:val="00DB4C3B"/>
    <w:rsid w:val="00DD2D33"/>
    <w:rsid w:val="00DD5AD8"/>
    <w:rsid w:val="00DE2E71"/>
    <w:rsid w:val="00DE3761"/>
    <w:rsid w:val="00DE7F39"/>
    <w:rsid w:val="00DF685A"/>
    <w:rsid w:val="00E03DA5"/>
    <w:rsid w:val="00E04354"/>
    <w:rsid w:val="00E25E57"/>
    <w:rsid w:val="00E277BB"/>
    <w:rsid w:val="00E35AC2"/>
    <w:rsid w:val="00E475B3"/>
    <w:rsid w:val="00E957FE"/>
    <w:rsid w:val="00E9718B"/>
    <w:rsid w:val="00EC32EF"/>
    <w:rsid w:val="00EC55CD"/>
    <w:rsid w:val="00ED054F"/>
    <w:rsid w:val="00EE0675"/>
    <w:rsid w:val="00EF387C"/>
    <w:rsid w:val="00F01C7F"/>
    <w:rsid w:val="00F13939"/>
    <w:rsid w:val="00F26C1A"/>
    <w:rsid w:val="00F37E55"/>
    <w:rsid w:val="00F4704F"/>
    <w:rsid w:val="00F614AD"/>
    <w:rsid w:val="00F64B94"/>
    <w:rsid w:val="00F7132D"/>
    <w:rsid w:val="00F8021D"/>
    <w:rsid w:val="00F94338"/>
    <w:rsid w:val="00FB64E2"/>
    <w:rsid w:val="00FC6B18"/>
    <w:rsid w:val="00FD1BB8"/>
    <w:rsid w:val="00FD2872"/>
    <w:rsid w:val="00FE04AA"/>
    <w:rsid w:val="00FE4BBE"/>
    <w:rsid w:val="00FF24E4"/>
    <w:rsid w:val="00FF45A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412591283232453E-2"/>
          <c:y val="0.10833806634826385"/>
          <c:w val="0.85811921028253824"/>
          <c:h val="0.67300535691235319"/>
        </c:manualLayout>
      </c:layout>
      <c:lineChart>
        <c:grouping val="standard"/>
        <c:varyColors val="0"/>
        <c:ser>
          <c:idx val="2"/>
          <c:order val="0"/>
          <c:tx>
            <c:strRef>
              <c:f>チャート!$F$35</c:f>
              <c:strCache>
                <c:ptCount val="1"/>
                <c:pt idx="0">
                  <c:v>１２月限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チャート!$A$443:$A$465</c:f>
              <c:numCache>
                <c:formatCode>m"月"d"日"</c:formatCode>
                <c:ptCount val="23"/>
                <c:pt idx="0">
                  <c:v>43287</c:v>
                </c:pt>
                <c:pt idx="1">
                  <c:v>43294</c:v>
                </c:pt>
                <c:pt idx="2">
                  <c:v>43301</c:v>
                </c:pt>
                <c:pt idx="3">
                  <c:v>43308</c:v>
                </c:pt>
                <c:pt idx="4">
                  <c:v>43315</c:v>
                </c:pt>
                <c:pt idx="5">
                  <c:v>43322</c:v>
                </c:pt>
                <c:pt idx="6">
                  <c:v>43329</c:v>
                </c:pt>
                <c:pt idx="7">
                  <c:v>43336</c:v>
                </c:pt>
                <c:pt idx="8">
                  <c:v>43343</c:v>
                </c:pt>
                <c:pt idx="9">
                  <c:v>43350</c:v>
                </c:pt>
                <c:pt idx="10">
                  <c:v>43357</c:v>
                </c:pt>
                <c:pt idx="11">
                  <c:v>43364</c:v>
                </c:pt>
                <c:pt idx="12">
                  <c:v>43371</c:v>
                </c:pt>
                <c:pt idx="13">
                  <c:v>43378</c:v>
                </c:pt>
                <c:pt idx="14">
                  <c:v>43385</c:v>
                </c:pt>
                <c:pt idx="15">
                  <c:v>43392</c:v>
                </c:pt>
                <c:pt idx="16">
                  <c:v>43399</c:v>
                </c:pt>
                <c:pt idx="17">
                  <c:v>43406</c:v>
                </c:pt>
                <c:pt idx="18">
                  <c:v>43413</c:v>
                </c:pt>
                <c:pt idx="19">
                  <c:v>43420</c:v>
                </c:pt>
                <c:pt idx="20">
                  <c:v>43427</c:v>
                </c:pt>
                <c:pt idx="21">
                  <c:v>43434</c:v>
                </c:pt>
                <c:pt idx="22">
                  <c:v>43441</c:v>
                </c:pt>
              </c:numCache>
            </c:numRef>
          </c:cat>
          <c:val>
            <c:numRef>
              <c:f>チャート!$F$443:$F$465</c:f>
              <c:numCache>
                <c:formatCode>General</c:formatCode>
                <c:ptCount val="23"/>
                <c:pt idx="0">
                  <c:v>373</c:v>
                </c:pt>
                <c:pt idx="1">
                  <c:v>354.75</c:v>
                </c:pt>
                <c:pt idx="2">
                  <c:v>369</c:v>
                </c:pt>
                <c:pt idx="3">
                  <c:v>376.25</c:v>
                </c:pt>
                <c:pt idx="4">
                  <c:v>384.25</c:v>
                </c:pt>
                <c:pt idx="5">
                  <c:v>371.75</c:v>
                </c:pt>
                <c:pt idx="6">
                  <c:v>378.75</c:v>
                </c:pt>
                <c:pt idx="7">
                  <c:v>362.75</c:v>
                </c:pt>
                <c:pt idx="8">
                  <c:v>365</c:v>
                </c:pt>
                <c:pt idx="9">
                  <c:v>367</c:v>
                </c:pt>
                <c:pt idx="10">
                  <c:v>351.75</c:v>
                </c:pt>
                <c:pt idx="11">
                  <c:v>357.25</c:v>
                </c:pt>
                <c:pt idx="12">
                  <c:v>356.25</c:v>
                </c:pt>
                <c:pt idx="13">
                  <c:v>368.25</c:v>
                </c:pt>
                <c:pt idx="14">
                  <c:v>373.75</c:v>
                </c:pt>
                <c:pt idx="15">
                  <c:v>367</c:v>
                </c:pt>
                <c:pt idx="16">
                  <c:v>367.75</c:v>
                </c:pt>
                <c:pt idx="17">
                  <c:v>371.25</c:v>
                </c:pt>
                <c:pt idx="18">
                  <c:v>369.75</c:v>
                </c:pt>
                <c:pt idx="19">
                  <c:v>364.75</c:v>
                </c:pt>
                <c:pt idx="20">
                  <c:v>359</c:v>
                </c:pt>
                <c:pt idx="21">
                  <c:v>366.5</c:v>
                </c:pt>
                <c:pt idx="22">
                  <c:v>374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チャート!$B$35</c:f>
              <c:strCache>
                <c:ptCount val="1"/>
                <c:pt idx="0">
                  <c:v>３月限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チャート!$A$443:$A$465</c:f>
              <c:numCache>
                <c:formatCode>m"月"d"日"</c:formatCode>
                <c:ptCount val="23"/>
                <c:pt idx="0">
                  <c:v>43287</c:v>
                </c:pt>
                <c:pt idx="1">
                  <c:v>43294</c:v>
                </c:pt>
                <c:pt idx="2">
                  <c:v>43301</c:v>
                </c:pt>
                <c:pt idx="3">
                  <c:v>43308</c:v>
                </c:pt>
                <c:pt idx="4">
                  <c:v>43315</c:v>
                </c:pt>
                <c:pt idx="5">
                  <c:v>43322</c:v>
                </c:pt>
                <c:pt idx="6">
                  <c:v>43329</c:v>
                </c:pt>
                <c:pt idx="7">
                  <c:v>43336</c:v>
                </c:pt>
                <c:pt idx="8">
                  <c:v>43343</c:v>
                </c:pt>
                <c:pt idx="9">
                  <c:v>43350</c:v>
                </c:pt>
                <c:pt idx="10">
                  <c:v>43357</c:v>
                </c:pt>
                <c:pt idx="11">
                  <c:v>43364</c:v>
                </c:pt>
                <c:pt idx="12">
                  <c:v>43371</c:v>
                </c:pt>
                <c:pt idx="13">
                  <c:v>43378</c:v>
                </c:pt>
                <c:pt idx="14">
                  <c:v>43385</c:v>
                </c:pt>
                <c:pt idx="15">
                  <c:v>43392</c:v>
                </c:pt>
                <c:pt idx="16">
                  <c:v>43399</c:v>
                </c:pt>
                <c:pt idx="17">
                  <c:v>43406</c:v>
                </c:pt>
                <c:pt idx="18">
                  <c:v>43413</c:v>
                </c:pt>
                <c:pt idx="19">
                  <c:v>43420</c:v>
                </c:pt>
                <c:pt idx="20">
                  <c:v>43427</c:v>
                </c:pt>
                <c:pt idx="21">
                  <c:v>43434</c:v>
                </c:pt>
                <c:pt idx="22">
                  <c:v>43441</c:v>
                </c:pt>
              </c:numCache>
            </c:numRef>
          </c:cat>
          <c:val>
            <c:numRef>
              <c:f>チャート!$B$443:$B$465</c:f>
              <c:numCache>
                <c:formatCode>General</c:formatCode>
                <c:ptCount val="23"/>
                <c:pt idx="11">
                  <c:v>369.25</c:v>
                </c:pt>
                <c:pt idx="12">
                  <c:v>368</c:v>
                </c:pt>
                <c:pt idx="13">
                  <c:v>380</c:v>
                </c:pt>
                <c:pt idx="14">
                  <c:v>385.75</c:v>
                </c:pt>
                <c:pt idx="15">
                  <c:v>379.5</c:v>
                </c:pt>
                <c:pt idx="16">
                  <c:v>380</c:v>
                </c:pt>
                <c:pt idx="17">
                  <c:v>383.25</c:v>
                </c:pt>
                <c:pt idx="18">
                  <c:v>381.25</c:v>
                </c:pt>
                <c:pt idx="19">
                  <c:v>375.75</c:v>
                </c:pt>
                <c:pt idx="20">
                  <c:v>370.5</c:v>
                </c:pt>
                <c:pt idx="21">
                  <c:v>377.75</c:v>
                </c:pt>
                <c:pt idx="22">
                  <c:v>385.5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852480"/>
        <c:axId val="272854400"/>
      </c:lineChart>
      <c:catAx>
        <c:axId val="272852480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2700000" vert="horz"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endParaRPr lang="ja-JP"/>
          </a:p>
        </c:txPr>
        <c:crossAx val="272854400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272854400"/>
        <c:scaling>
          <c:orientation val="minMax"/>
          <c:max val="390"/>
          <c:min val="350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ysDot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 cmpd="sng"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ja-JP"/>
          </a:p>
        </c:txPr>
        <c:crossAx val="272852480"/>
        <c:crosses val="autoZero"/>
        <c:crossBetween val="between"/>
        <c:minorUnit val="10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9.1233736568301652E-2"/>
          <c:y val="0.13242674583709824"/>
          <c:w val="0.12371712195193474"/>
          <c:h val="0.13575460458747007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ＭＳ Ｐ明朝" pitchFamily="18" charset="-128"/>
          <a:ea typeface="ＭＳ Ｐ明朝" pitchFamily="18" charset="-128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5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r>
              <a:rPr lang="ja-JP" altLang="en-US" sz="1800"/>
              <a:t>大豆粕シカゴ定期の推移</a:t>
            </a:r>
          </a:p>
        </c:rich>
      </c:tx>
      <c:layout>
        <c:manualLayout>
          <c:xMode val="edge"/>
          <c:yMode val="edge"/>
          <c:x val="0.31413766660147113"/>
          <c:y val="2.501388571241872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009118805002319E-2"/>
          <c:y val="0.12492188976377953"/>
          <c:w val="0.84971007989810099"/>
          <c:h val="0.66166929133858265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cat>
            <c:numRef>
              <c:f>チャート!$AP$443:$AP$465</c:f>
              <c:numCache>
                <c:formatCode>m"月"d"日"</c:formatCode>
                <c:ptCount val="23"/>
                <c:pt idx="0">
                  <c:v>43287</c:v>
                </c:pt>
                <c:pt idx="1">
                  <c:v>43294</c:v>
                </c:pt>
                <c:pt idx="2">
                  <c:v>43301</c:v>
                </c:pt>
                <c:pt idx="3">
                  <c:v>43308</c:v>
                </c:pt>
                <c:pt idx="4">
                  <c:v>43315</c:v>
                </c:pt>
                <c:pt idx="5">
                  <c:v>43322</c:v>
                </c:pt>
                <c:pt idx="6">
                  <c:v>43329</c:v>
                </c:pt>
                <c:pt idx="7">
                  <c:v>43336</c:v>
                </c:pt>
                <c:pt idx="8">
                  <c:v>43343</c:v>
                </c:pt>
                <c:pt idx="9">
                  <c:v>43350</c:v>
                </c:pt>
                <c:pt idx="10">
                  <c:v>43357</c:v>
                </c:pt>
                <c:pt idx="11">
                  <c:v>43364</c:v>
                </c:pt>
                <c:pt idx="12">
                  <c:v>43371</c:v>
                </c:pt>
                <c:pt idx="13">
                  <c:v>43378</c:v>
                </c:pt>
                <c:pt idx="14">
                  <c:v>43385</c:v>
                </c:pt>
                <c:pt idx="15">
                  <c:v>43392</c:v>
                </c:pt>
                <c:pt idx="16">
                  <c:v>43399</c:v>
                </c:pt>
                <c:pt idx="17">
                  <c:v>43406</c:v>
                </c:pt>
                <c:pt idx="18">
                  <c:v>43413</c:v>
                </c:pt>
                <c:pt idx="19">
                  <c:v>43420</c:v>
                </c:pt>
                <c:pt idx="20">
                  <c:v>43427</c:v>
                </c:pt>
                <c:pt idx="21">
                  <c:v>43434</c:v>
                </c:pt>
                <c:pt idx="22">
                  <c:v>43441</c:v>
                </c:pt>
              </c:numCache>
            </c:numRef>
          </c:cat>
          <c:val>
            <c:numRef>
              <c:f>チャート!$AQ$443:$AQ$465</c:f>
              <c:numCache>
                <c:formatCode>#,##0.00_);[Red]\(#,##0.00\)</c:formatCode>
                <c:ptCount val="23"/>
                <c:pt idx="0">
                  <c:v>374.56154000000004</c:v>
                </c:pt>
                <c:pt idx="1">
                  <c:v>362.43624000000005</c:v>
                </c:pt>
                <c:pt idx="2">
                  <c:v>358.13727</c:v>
                </c:pt>
                <c:pt idx="3">
                  <c:v>365.19199000000003</c:v>
                </c:pt>
                <c:pt idx="4">
                  <c:v>364.42038000000002</c:v>
                </c:pt>
                <c:pt idx="5">
                  <c:v>355.05083000000002</c:v>
                </c:pt>
                <c:pt idx="6">
                  <c:v>364.53061000000002</c:v>
                </c:pt>
                <c:pt idx="7">
                  <c:v>346.67335000000003</c:v>
                </c:pt>
                <c:pt idx="8">
                  <c:v>335.76058000000006</c:v>
                </c:pt>
                <c:pt idx="9">
                  <c:v>346.89381000000003</c:v>
                </c:pt>
                <c:pt idx="10">
                  <c:v>337.08334000000002</c:v>
                </c:pt>
                <c:pt idx="11">
                  <c:v>337.19356999999997</c:v>
                </c:pt>
                <c:pt idx="12">
                  <c:v>336.64242000000002</c:v>
                </c:pt>
                <c:pt idx="13">
                  <c:v>347.88588000000004</c:v>
                </c:pt>
                <c:pt idx="14">
                  <c:v>344.35852</c:v>
                </c:pt>
                <c:pt idx="15">
                  <c:v>345.13013000000007</c:v>
                </c:pt>
                <c:pt idx="16">
                  <c:v>338.73679000000004</c:v>
                </c:pt>
                <c:pt idx="17">
                  <c:v>342.81530000000004</c:v>
                </c:pt>
                <c:pt idx="18">
                  <c:v>336.86288000000002</c:v>
                </c:pt>
                <c:pt idx="19">
                  <c:v>342.70506999999998</c:v>
                </c:pt>
                <c:pt idx="20">
                  <c:v>337.08334000000002</c:v>
                </c:pt>
                <c:pt idx="21">
                  <c:v>339.83909000000006</c:v>
                </c:pt>
                <c:pt idx="22">
                  <c:v>340.72093000000007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886784"/>
        <c:axId val="272970880"/>
      </c:lineChart>
      <c:catAx>
        <c:axId val="272886784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272970880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272970880"/>
        <c:scaling>
          <c:orientation val="minMax"/>
          <c:max val="380"/>
          <c:min val="3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25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</a:rPr>
                  <a:t>ドル/トン</a:t>
                </a:r>
              </a:p>
            </c:rich>
          </c:tx>
          <c:layout>
            <c:manualLayout>
              <c:xMode val="edge"/>
              <c:yMode val="edge"/>
              <c:x val="3.1393729735988883E-2"/>
              <c:y val="4.7289763779527559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in"/>
        <c:minorTickMark val="none"/>
        <c:tickLblPos val="nextTo"/>
        <c:spPr>
          <a:solidFill>
            <a:srgbClr val="FFFFFF"/>
          </a:solidFill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272886784"/>
        <c:crosses val="autoZero"/>
        <c:crossBetween val="between"/>
        <c:majorUnit val="10"/>
        <c:minorUnit val="10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5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r>
              <a:rPr lang="ja-JP" altLang="en-US" sz="1800"/>
              <a:t>ドル円為替相場（東京市場対顧客電信相場）</a:t>
            </a:r>
          </a:p>
        </c:rich>
      </c:tx>
      <c:layout>
        <c:manualLayout>
          <c:xMode val="edge"/>
          <c:yMode val="edge"/>
          <c:x val="0.20451047938860584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841072255673926E-2"/>
          <c:y val="0.11678235031941762"/>
          <c:w val="0.85519789061831564"/>
          <c:h val="0.67065909589986505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チャート!$AC$443:$AC$465</c:f>
              <c:numCache>
                <c:formatCode>m"月"d"日"</c:formatCode>
                <c:ptCount val="23"/>
                <c:pt idx="0">
                  <c:v>43287</c:v>
                </c:pt>
                <c:pt idx="1">
                  <c:v>43294</c:v>
                </c:pt>
                <c:pt idx="2">
                  <c:v>43301</c:v>
                </c:pt>
                <c:pt idx="3">
                  <c:v>43308</c:v>
                </c:pt>
                <c:pt idx="4">
                  <c:v>43315</c:v>
                </c:pt>
                <c:pt idx="5">
                  <c:v>43322</c:v>
                </c:pt>
                <c:pt idx="6">
                  <c:v>43329</c:v>
                </c:pt>
                <c:pt idx="7">
                  <c:v>43336</c:v>
                </c:pt>
                <c:pt idx="8">
                  <c:v>43343</c:v>
                </c:pt>
                <c:pt idx="9">
                  <c:v>43350</c:v>
                </c:pt>
                <c:pt idx="10">
                  <c:v>43357</c:v>
                </c:pt>
                <c:pt idx="11">
                  <c:v>43364</c:v>
                </c:pt>
                <c:pt idx="12">
                  <c:v>43371</c:v>
                </c:pt>
                <c:pt idx="13">
                  <c:v>43378</c:v>
                </c:pt>
                <c:pt idx="14">
                  <c:v>43385</c:v>
                </c:pt>
                <c:pt idx="15">
                  <c:v>43392</c:v>
                </c:pt>
                <c:pt idx="16">
                  <c:v>43399</c:v>
                </c:pt>
                <c:pt idx="17">
                  <c:v>43406</c:v>
                </c:pt>
                <c:pt idx="18">
                  <c:v>43413</c:v>
                </c:pt>
                <c:pt idx="19">
                  <c:v>43420</c:v>
                </c:pt>
                <c:pt idx="20">
                  <c:v>43427</c:v>
                </c:pt>
                <c:pt idx="21">
                  <c:v>43434</c:v>
                </c:pt>
                <c:pt idx="22">
                  <c:v>43441</c:v>
                </c:pt>
              </c:numCache>
            </c:numRef>
          </c:cat>
          <c:val>
            <c:numRef>
              <c:f>チャート!$AD$443:$AD$465</c:f>
              <c:numCache>
                <c:formatCode>General</c:formatCode>
                <c:ptCount val="23"/>
                <c:pt idx="0">
                  <c:v>110.73</c:v>
                </c:pt>
                <c:pt idx="1">
                  <c:v>112.76</c:v>
                </c:pt>
                <c:pt idx="2">
                  <c:v>112.61</c:v>
                </c:pt>
                <c:pt idx="3">
                  <c:v>111.12</c:v>
                </c:pt>
                <c:pt idx="4">
                  <c:v>111.81</c:v>
                </c:pt>
                <c:pt idx="5">
                  <c:v>110.92</c:v>
                </c:pt>
                <c:pt idx="6">
                  <c:v>110.89</c:v>
                </c:pt>
                <c:pt idx="7">
                  <c:v>111.51</c:v>
                </c:pt>
                <c:pt idx="8">
                  <c:v>111.06</c:v>
                </c:pt>
                <c:pt idx="9">
                  <c:v>110.51</c:v>
                </c:pt>
                <c:pt idx="10">
                  <c:v>112.11</c:v>
                </c:pt>
                <c:pt idx="11">
                  <c:v>112.61</c:v>
                </c:pt>
                <c:pt idx="12">
                  <c:v>113.57</c:v>
                </c:pt>
                <c:pt idx="13">
                  <c:v>114.13</c:v>
                </c:pt>
                <c:pt idx="14">
                  <c:v>112.19</c:v>
                </c:pt>
                <c:pt idx="15">
                  <c:v>112.36</c:v>
                </c:pt>
                <c:pt idx="16">
                  <c:v>112.47</c:v>
                </c:pt>
                <c:pt idx="17">
                  <c:v>112.87</c:v>
                </c:pt>
                <c:pt idx="18">
                  <c:v>114.03</c:v>
                </c:pt>
                <c:pt idx="19">
                  <c:v>113.65</c:v>
                </c:pt>
                <c:pt idx="20">
                  <c:v>113.09</c:v>
                </c:pt>
                <c:pt idx="21">
                  <c:v>113.47</c:v>
                </c:pt>
                <c:pt idx="22">
                  <c:v>112.79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583232"/>
        <c:axId val="283585152"/>
      </c:lineChart>
      <c:catAx>
        <c:axId val="283583232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283585152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283585152"/>
        <c:scaling>
          <c:orientation val="minMax"/>
          <c:max val="115"/>
          <c:min val="1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50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</a:rPr>
                  <a:t>円/ドル</a:t>
                </a:r>
              </a:p>
            </c:rich>
          </c:tx>
          <c:layout>
            <c:manualLayout>
              <c:xMode val="edge"/>
              <c:yMode val="edge"/>
              <c:x val="4.4613391616489112E-2"/>
              <c:y val="4.0080308686513785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283583232"/>
        <c:crosses val="autoZero"/>
        <c:crossBetween val="between"/>
        <c:majorUnit val="1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0.32228</cdr:x>
      <cdr:y>0</cdr:y>
    </cdr:from>
    <cdr:to>
      <cdr:x>0.68324</cdr:x>
      <cdr:y>0.10385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222500" y="0"/>
          <a:ext cx="2489200" cy="3217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ja-JP" altLang="en-US" sz="1800">
              <a:latin typeface="ＭＳ Ｐ明朝" pitchFamily="18" charset="-128"/>
              <a:ea typeface="ＭＳ Ｐ明朝" pitchFamily="18" charset="-128"/>
            </a:rPr>
            <a:t>とうもろこしシカゴ定期の推移</a:t>
          </a:r>
        </a:p>
      </cdr:txBody>
    </cdr:sp>
  </cdr:relSizeAnchor>
  <cdr:relSizeAnchor xmlns:cdr="http://schemas.openxmlformats.org/drawingml/2006/chartDrawing">
    <cdr:from>
      <cdr:x>0.01348</cdr:x>
      <cdr:y>0.00846</cdr:y>
    </cdr:from>
    <cdr:to>
      <cdr:x>0.16912</cdr:x>
      <cdr:y>0.09016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93130" y="26216"/>
          <a:ext cx="1075270" cy="2531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ja-JP" altLang="en-US" sz="1050">
              <a:latin typeface="ＭＳ Ｐ明朝" pitchFamily="18" charset="-128"/>
              <a:ea typeface="ＭＳ Ｐ明朝" pitchFamily="18" charset="-128"/>
            </a:rPr>
            <a:t>セント</a:t>
          </a:r>
          <a:r>
            <a:rPr lang="en-US" altLang="ja-JP" sz="1050">
              <a:latin typeface="ＭＳ Ｐ明朝" pitchFamily="18" charset="-128"/>
              <a:ea typeface="ＭＳ Ｐ明朝" pitchFamily="18" charset="-128"/>
            </a:rPr>
            <a:t>/</a:t>
          </a:r>
          <a:r>
            <a:rPr lang="ja-JP" altLang="en-US" sz="1050">
              <a:latin typeface="ＭＳ Ｐ明朝" pitchFamily="18" charset="-128"/>
              <a:ea typeface="ＭＳ Ｐ明朝" pitchFamily="18" charset="-128"/>
            </a:rPr>
            <a:t>ブッシェル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M4162E</dc:creator>
  <cp:lastModifiedBy>L4104N</cp:lastModifiedBy>
  <cp:revision>2</cp:revision>
  <cp:lastPrinted>2018-12-14T05:20:00Z</cp:lastPrinted>
  <dcterms:created xsi:type="dcterms:W3CDTF">2018-12-17T01:51:00Z</dcterms:created>
  <dcterms:modified xsi:type="dcterms:W3CDTF">2018-12-17T01:51:00Z</dcterms:modified>
</cp:coreProperties>
</file>