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B92" w:rsidRDefault="00D867C2" w:rsidP="00BE0A91">
      <w:r>
        <w:rPr>
          <w:noProof/>
        </w:rPr>
        <w:drawing>
          <wp:inline distT="0" distB="0" distL="0" distR="0" wp14:anchorId="5BF9993F" wp14:editId="252A6F70">
            <wp:extent cx="6734175" cy="3067050"/>
            <wp:effectExtent l="0" t="0" r="0" b="0"/>
            <wp:docPr id="1" name="グラフ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bookmarkStart w:id="0" w:name="_GoBack"/>
      <w:bookmarkEnd w:id="0"/>
    </w:p>
    <w:p w:rsidR="00FE4BBE" w:rsidRDefault="0074027E" w:rsidP="00BE0A91">
      <w:pPr>
        <w:rPr>
          <w:rFonts w:hint="eastAsia"/>
        </w:rPr>
      </w:pPr>
      <w:r>
        <w:rPr>
          <w:noProof/>
        </w:rPr>
        <w:drawing>
          <wp:inline distT="0" distB="0" distL="0" distR="0" wp14:anchorId="7CEF37AD" wp14:editId="05A561E3">
            <wp:extent cx="6734175" cy="3057525"/>
            <wp:effectExtent l="0" t="0" r="0" b="0"/>
            <wp:docPr id="3" name="グラフ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74027E" w:rsidRPr="00BE0A91" w:rsidRDefault="0074027E" w:rsidP="00BE0A91">
      <w:r>
        <w:rPr>
          <w:noProof/>
        </w:rPr>
        <w:drawing>
          <wp:inline distT="0" distB="0" distL="0" distR="0" wp14:anchorId="4988D603" wp14:editId="4963760C">
            <wp:extent cx="6667500" cy="3086100"/>
            <wp:effectExtent l="0" t="0" r="0" b="0"/>
            <wp:docPr id="4" name="グラフ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sectPr w:rsidR="0074027E" w:rsidRPr="00BE0A91" w:rsidSect="00DE705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F72" w:rsidRDefault="00B96F72" w:rsidP="00E6618D">
      <w:r>
        <w:separator/>
      </w:r>
    </w:p>
  </w:endnote>
  <w:endnote w:type="continuationSeparator" w:id="0">
    <w:p w:rsidR="00B96F72" w:rsidRDefault="00B96F72" w:rsidP="00E66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F72" w:rsidRDefault="00B96F72" w:rsidP="00E6618D">
      <w:r>
        <w:separator/>
      </w:r>
    </w:p>
  </w:footnote>
  <w:footnote w:type="continuationSeparator" w:id="0">
    <w:p w:rsidR="00B96F72" w:rsidRDefault="00B96F72" w:rsidP="00E661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05D"/>
    <w:rsid w:val="00026964"/>
    <w:rsid w:val="00026E87"/>
    <w:rsid w:val="00034DEA"/>
    <w:rsid w:val="000466A0"/>
    <w:rsid w:val="0006280D"/>
    <w:rsid w:val="00071F36"/>
    <w:rsid w:val="0009561C"/>
    <w:rsid w:val="000A4DD6"/>
    <w:rsid w:val="000A5857"/>
    <w:rsid w:val="000B26ED"/>
    <w:rsid w:val="000B2FCA"/>
    <w:rsid w:val="000C7823"/>
    <w:rsid w:val="000D7300"/>
    <w:rsid w:val="000F6A5C"/>
    <w:rsid w:val="00107721"/>
    <w:rsid w:val="00107FFE"/>
    <w:rsid w:val="00110BD2"/>
    <w:rsid w:val="001241FF"/>
    <w:rsid w:val="00152BC8"/>
    <w:rsid w:val="001545BB"/>
    <w:rsid w:val="00155376"/>
    <w:rsid w:val="001655A1"/>
    <w:rsid w:val="001677BD"/>
    <w:rsid w:val="00194C2A"/>
    <w:rsid w:val="0019536F"/>
    <w:rsid w:val="001A21AC"/>
    <w:rsid w:val="001A39ED"/>
    <w:rsid w:val="001C45A1"/>
    <w:rsid w:val="001E02B7"/>
    <w:rsid w:val="001E2ECB"/>
    <w:rsid w:val="001F0B1E"/>
    <w:rsid w:val="001F2585"/>
    <w:rsid w:val="00201D12"/>
    <w:rsid w:val="00206210"/>
    <w:rsid w:val="002215F9"/>
    <w:rsid w:val="002232DE"/>
    <w:rsid w:val="002261A9"/>
    <w:rsid w:val="0024159D"/>
    <w:rsid w:val="00260C21"/>
    <w:rsid w:val="00260F19"/>
    <w:rsid w:val="0026409B"/>
    <w:rsid w:val="00265860"/>
    <w:rsid w:val="00270874"/>
    <w:rsid w:val="00277F4D"/>
    <w:rsid w:val="0028158C"/>
    <w:rsid w:val="00282D7D"/>
    <w:rsid w:val="0029108B"/>
    <w:rsid w:val="00292B4C"/>
    <w:rsid w:val="00295055"/>
    <w:rsid w:val="002B00A3"/>
    <w:rsid w:val="002C016B"/>
    <w:rsid w:val="002C3FE6"/>
    <w:rsid w:val="002E4047"/>
    <w:rsid w:val="002F463E"/>
    <w:rsid w:val="00301C4A"/>
    <w:rsid w:val="00305766"/>
    <w:rsid w:val="003102C2"/>
    <w:rsid w:val="00313479"/>
    <w:rsid w:val="00321AE2"/>
    <w:rsid w:val="00324019"/>
    <w:rsid w:val="003335AC"/>
    <w:rsid w:val="003360D7"/>
    <w:rsid w:val="00364070"/>
    <w:rsid w:val="00374BD6"/>
    <w:rsid w:val="00374D4A"/>
    <w:rsid w:val="00380DE5"/>
    <w:rsid w:val="003A0DA5"/>
    <w:rsid w:val="003A168C"/>
    <w:rsid w:val="003A2EDF"/>
    <w:rsid w:val="003A45C4"/>
    <w:rsid w:val="003A6064"/>
    <w:rsid w:val="003A67C7"/>
    <w:rsid w:val="003B4175"/>
    <w:rsid w:val="003D79BB"/>
    <w:rsid w:val="003D7D6A"/>
    <w:rsid w:val="003E2F7C"/>
    <w:rsid w:val="003F4F72"/>
    <w:rsid w:val="003F6030"/>
    <w:rsid w:val="00403E08"/>
    <w:rsid w:val="00405A1E"/>
    <w:rsid w:val="00406F0C"/>
    <w:rsid w:val="00410D9A"/>
    <w:rsid w:val="004114D0"/>
    <w:rsid w:val="00414168"/>
    <w:rsid w:val="0041523D"/>
    <w:rsid w:val="00423E5F"/>
    <w:rsid w:val="00431349"/>
    <w:rsid w:val="00440BD0"/>
    <w:rsid w:val="00441A84"/>
    <w:rsid w:val="00442949"/>
    <w:rsid w:val="0045056F"/>
    <w:rsid w:val="00451682"/>
    <w:rsid w:val="004663C7"/>
    <w:rsid w:val="00472C20"/>
    <w:rsid w:val="004768AA"/>
    <w:rsid w:val="0048441D"/>
    <w:rsid w:val="00484D81"/>
    <w:rsid w:val="004944F5"/>
    <w:rsid w:val="004A68DC"/>
    <w:rsid w:val="004B0535"/>
    <w:rsid w:val="004B0EF6"/>
    <w:rsid w:val="004C4B2A"/>
    <w:rsid w:val="004D5A7F"/>
    <w:rsid w:val="004E557A"/>
    <w:rsid w:val="004E625C"/>
    <w:rsid w:val="004F0FAA"/>
    <w:rsid w:val="004F6BD9"/>
    <w:rsid w:val="00500D3D"/>
    <w:rsid w:val="005320FF"/>
    <w:rsid w:val="00540000"/>
    <w:rsid w:val="00542FE3"/>
    <w:rsid w:val="0055260B"/>
    <w:rsid w:val="00590A26"/>
    <w:rsid w:val="005926FF"/>
    <w:rsid w:val="005931A4"/>
    <w:rsid w:val="00596375"/>
    <w:rsid w:val="005B358B"/>
    <w:rsid w:val="005B5C39"/>
    <w:rsid w:val="005E29AF"/>
    <w:rsid w:val="005E36D9"/>
    <w:rsid w:val="005E38DA"/>
    <w:rsid w:val="005E3AC3"/>
    <w:rsid w:val="005E63D1"/>
    <w:rsid w:val="00602EC0"/>
    <w:rsid w:val="0060311B"/>
    <w:rsid w:val="0060618C"/>
    <w:rsid w:val="00614E46"/>
    <w:rsid w:val="00617A20"/>
    <w:rsid w:val="00623F87"/>
    <w:rsid w:val="00641DE2"/>
    <w:rsid w:val="00663A74"/>
    <w:rsid w:val="00681265"/>
    <w:rsid w:val="0068274C"/>
    <w:rsid w:val="0069793F"/>
    <w:rsid w:val="006B5729"/>
    <w:rsid w:val="006C4ECA"/>
    <w:rsid w:val="006C7666"/>
    <w:rsid w:val="006D011B"/>
    <w:rsid w:val="006D0960"/>
    <w:rsid w:val="006D0FA8"/>
    <w:rsid w:val="006E477A"/>
    <w:rsid w:val="006E566A"/>
    <w:rsid w:val="00704557"/>
    <w:rsid w:val="007135B6"/>
    <w:rsid w:val="007227A6"/>
    <w:rsid w:val="007300B7"/>
    <w:rsid w:val="0074027E"/>
    <w:rsid w:val="00743A9A"/>
    <w:rsid w:val="00746EBD"/>
    <w:rsid w:val="00762E44"/>
    <w:rsid w:val="00773085"/>
    <w:rsid w:val="00781307"/>
    <w:rsid w:val="007836F2"/>
    <w:rsid w:val="00786B3A"/>
    <w:rsid w:val="00793B81"/>
    <w:rsid w:val="00796625"/>
    <w:rsid w:val="00796A40"/>
    <w:rsid w:val="007B1E92"/>
    <w:rsid w:val="007B618C"/>
    <w:rsid w:val="007C3804"/>
    <w:rsid w:val="007C7341"/>
    <w:rsid w:val="007D17DA"/>
    <w:rsid w:val="007D318E"/>
    <w:rsid w:val="007E436A"/>
    <w:rsid w:val="007F39AC"/>
    <w:rsid w:val="007F6040"/>
    <w:rsid w:val="007F6277"/>
    <w:rsid w:val="0081277F"/>
    <w:rsid w:val="00815A73"/>
    <w:rsid w:val="00836616"/>
    <w:rsid w:val="00843A47"/>
    <w:rsid w:val="00854C9E"/>
    <w:rsid w:val="00854F33"/>
    <w:rsid w:val="0085506B"/>
    <w:rsid w:val="00856B3C"/>
    <w:rsid w:val="008615C4"/>
    <w:rsid w:val="00865241"/>
    <w:rsid w:val="00867BAC"/>
    <w:rsid w:val="00874853"/>
    <w:rsid w:val="00883532"/>
    <w:rsid w:val="00897DC6"/>
    <w:rsid w:val="008A2F46"/>
    <w:rsid w:val="008A5823"/>
    <w:rsid w:val="008F01AD"/>
    <w:rsid w:val="00944777"/>
    <w:rsid w:val="0095157F"/>
    <w:rsid w:val="00953643"/>
    <w:rsid w:val="00960E52"/>
    <w:rsid w:val="00961BA1"/>
    <w:rsid w:val="00962F24"/>
    <w:rsid w:val="00962F32"/>
    <w:rsid w:val="0097752A"/>
    <w:rsid w:val="009814AD"/>
    <w:rsid w:val="009A7AF7"/>
    <w:rsid w:val="009B0066"/>
    <w:rsid w:val="009B697A"/>
    <w:rsid w:val="009C37B0"/>
    <w:rsid w:val="009C7C76"/>
    <w:rsid w:val="009D4031"/>
    <w:rsid w:val="009E2698"/>
    <w:rsid w:val="009F5217"/>
    <w:rsid w:val="009F642B"/>
    <w:rsid w:val="00A01EAC"/>
    <w:rsid w:val="00A2349A"/>
    <w:rsid w:val="00A24F83"/>
    <w:rsid w:val="00A2593A"/>
    <w:rsid w:val="00A25B45"/>
    <w:rsid w:val="00A37797"/>
    <w:rsid w:val="00A4167D"/>
    <w:rsid w:val="00A4201A"/>
    <w:rsid w:val="00A52C08"/>
    <w:rsid w:val="00A55C21"/>
    <w:rsid w:val="00A736EF"/>
    <w:rsid w:val="00A7606E"/>
    <w:rsid w:val="00A81F4A"/>
    <w:rsid w:val="00A85044"/>
    <w:rsid w:val="00A93535"/>
    <w:rsid w:val="00AA5C3D"/>
    <w:rsid w:val="00AA7654"/>
    <w:rsid w:val="00AB57A0"/>
    <w:rsid w:val="00AC3DF1"/>
    <w:rsid w:val="00AD039C"/>
    <w:rsid w:val="00AF145B"/>
    <w:rsid w:val="00AF42C4"/>
    <w:rsid w:val="00B05EFB"/>
    <w:rsid w:val="00B161E0"/>
    <w:rsid w:val="00B43474"/>
    <w:rsid w:val="00B501B7"/>
    <w:rsid w:val="00B505E0"/>
    <w:rsid w:val="00B56B1B"/>
    <w:rsid w:val="00B828DD"/>
    <w:rsid w:val="00B82F58"/>
    <w:rsid w:val="00B96F72"/>
    <w:rsid w:val="00BA5236"/>
    <w:rsid w:val="00BB120B"/>
    <w:rsid w:val="00BB131D"/>
    <w:rsid w:val="00BB392F"/>
    <w:rsid w:val="00BB3FD4"/>
    <w:rsid w:val="00BC7812"/>
    <w:rsid w:val="00BD6096"/>
    <w:rsid w:val="00BE0A91"/>
    <w:rsid w:val="00BE271D"/>
    <w:rsid w:val="00BE44A1"/>
    <w:rsid w:val="00BF00ED"/>
    <w:rsid w:val="00BF6500"/>
    <w:rsid w:val="00C022B9"/>
    <w:rsid w:val="00C03B64"/>
    <w:rsid w:val="00C418B1"/>
    <w:rsid w:val="00C66248"/>
    <w:rsid w:val="00C66D34"/>
    <w:rsid w:val="00C75D13"/>
    <w:rsid w:val="00C91D94"/>
    <w:rsid w:val="00C96646"/>
    <w:rsid w:val="00C975C4"/>
    <w:rsid w:val="00CA00B9"/>
    <w:rsid w:val="00CB255B"/>
    <w:rsid w:val="00CD1688"/>
    <w:rsid w:val="00CD5165"/>
    <w:rsid w:val="00CE6950"/>
    <w:rsid w:val="00CE73A2"/>
    <w:rsid w:val="00CF176B"/>
    <w:rsid w:val="00CF5651"/>
    <w:rsid w:val="00D00632"/>
    <w:rsid w:val="00D276FF"/>
    <w:rsid w:val="00D27F69"/>
    <w:rsid w:val="00D35859"/>
    <w:rsid w:val="00D43589"/>
    <w:rsid w:val="00D5503D"/>
    <w:rsid w:val="00D67E06"/>
    <w:rsid w:val="00D867C2"/>
    <w:rsid w:val="00D92231"/>
    <w:rsid w:val="00DB088C"/>
    <w:rsid w:val="00DB4C3B"/>
    <w:rsid w:val="00DD2D33"/>
    <w:rsid w:val="00DD5AD8"/>
    <w:rsid w:val="00DE2E71"/>
    <w:rsid w:val="00DE3761"/>
    <w:rsid w:val="00DE705D"/>
    <w:rsid w:val="00DE7F39"/>
    <w:rsid w:val="00DF685A"/>
    <w:rsid w:val="00E03DA5"/>
    <w:rsid w:val="00E04354"/>
    <w:rsid w:val="00E25E57"/>
    <w:rsid w:val="00E277BB"/>
    <w:rsid w:val="00E35AC2"/>
    <w:rsid w:val="00E475B3"/>
    <w:rsid w:val="00E53D59"/>
    <w:rsid w:val="00E6618D"/>
    <w:rsid w:val="00E957FE"/>
    <w:rsid w:val="00E9718B"/>
    <w:rsid w:val="00EC32EF"/>
    <w:rsid w:val="00EC55CD"/>
    <w:rsid w:val="00ED054F"/>
    <w:rsid w:val="00ED7C69"/>
    <w:rsid w:val="00EE0675"/>
    <w:rsid w:val="00EF387C"/>
    <w:rsid w:val="00F01C7F"/>
    <w:rsid w:val="00F13939"/>
    <w:rsid w:val="00F26C1A"/>
    <w:rsid w:val="00F31B92"/>
    <w:rsid w:val="00F37E55"/>
    <w:rsid w:val="00F4704F"/>
    <w:rsid w:val="00F614AD"/>
    <w:rsid w:val="00F64B94"/>
    <w:rsid w:val="00F7132D"/>
    <w:rsid w:val="00F8021D"/>
    <w:rsid w:val="00F94338"/>
    <w:rsid w:val="00FC4545"/>
    <w:rsid w:val="00FC6B18"/>
    <w:rsid w:val="00FD1BB8"/>
    <w:rsid w:val="00FD2872"/>
    <w:rsid w:val="00FE04AA"/>
    <w:rsid w:val="00FE4BBE"/>
    <w:rsid w:val="00FF24E4"/>
    <w:rsid w:val="00FF45A3"/>
    <w:rsid w:val="00FF7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705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DE705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6618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E6618D"/>
  </w:style>
  <w:style w:type="paragraph" w:styleId="a7">
    <w:name w:val="footer"/>
    <w:basedOn w:val="a"/>
    <w:link w:val="a8"/>
    <w:uiPriority w:val="99"/>
    <w:unhideWhenUsed/>
    <w:rsid w:val="00E6618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E661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E705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DE705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E6618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E6618D"/>
  </w:style>
  <w:style w:type="paragraph" w:styleId="a7">
    <w:name w:val="footer"/>
    <w:basedOn w:val="a"/>
    <w:link w:val="a8"/>
    <w:uiPriority w:val="99"/>
    <w:unhideWhenUsed/>
    <w:rsid w:val="00E6618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E661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6331844658031611E-2"/>
          <c:y val="0.10909371622664814"/>
          <c:w val="0.89331670174891509"/>
          <c:h val="0.67692107114061728"/>
        </c:manualLayout>
      </c:layout>
      <c:lineChart>
        <c:grouping val="standard"/>
        <c:varyColors val="0"/>
        <c:ser>
          <c:idx val="2"/>
          <c:order val="0"/>
          <c:tx>
            <c:strRef>
              <c:f>チャート!$C$35</c:f>
              <c:strCache>
                <c:ptCount val="1"/>
                <c:pt idx="0">
                  <c:v>５月限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square"/>
            <c:size val="5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チャート!$A$469:$A$491</c:f>
              <c:numCache>
                <c:formatCode>m"月"d"日"</c:formatCode>
                <c:ptCount val="23"/>
                <c:pt idx="0">
                  <c:v>43469</c:v>
                </c:pt>
                <c:pt idx="1">
                  <c:v>43476</c:v>
                </c:pt>
                <c:pt idx="2">
                  <c:v>43483</c:v>
                </c:pt>
                <c:pt idx="3">
                  <c:v>43490</c:v>
                </c:pt>
                <c:pt idx="4">
                  <c:v>43497</c:v>
                </c:pt>
                <c:pt idx="5">
                  <c:v>43504</c:v>
                </c:pt>
                <c:pt idx="6">
                  <c:v>43511</c:v>
                </c:pt>
                <c:pt idx="7">
                  <c:v>43518</c:v>
                </c:pt>
                <c:pt idx="8">
                  <c:v>43525</c:v>
                </c:pt>
                <c:pt idx="9">
                  <c:v>43532</c:v>
                </c:pt>
                <c:pt idx="10">
                  <c:v>43539</c:v>
                </c:pt>
                <c:pt idx="11">
                  <c:v>43546</c:v>
                </c:pt>
                <c:pt idx="12">
                  <c:v>43553</c:v>
                </c:pt>
                <c:pt idx="13">
                  <c:v>43560</c:v>
                </c:pt>
                <c:pt idx="14">
                  <c:v>43567</c:v>
                </c:pt>
                <c:pt idx="15">
                  <c:v>43573</c:v>
                </c:pt>
                <c:pt idx="16">
                  <c:v>43581</c:v>
                </c:pt>
                <c:pt idx="17">
                  <c:v>43588</c:v>
                </c:pt>
                <c:pt idx="18">
                  <c:v>43595</c:v>
                </c:pt>
                <c:pt idx="19">
                  <c:v>43602</c:v>
                </c:pt>
                <c:pt idx="20">
                  <c:v>43609</c:v>
                </c:pt>
                <c:pt idx="21">
                  <c:v>43616</c:v>
                </c:pt>
                <c:pt idx="22">
                  <c:v>43623</c:v>
                </c:pt>
              </c:numCache>
            </c:numRef>
          </c:cat>
          <c:val>
            <c:numRef>
              <c:f>チャート!$C$469:$C$491</c:f>
              <c:numCache>
                <c:formatCode>General</c:formatCode>
                <c:ptCount val="23"/>
                <c:pt idx="0">
                  <c:v>391</c:v>
                </c:pt>
                <c:pt idx="1">
                  <c:v>386.75</c:v>
                </c:pt>
                <c:pt idx="2">
                  <c:v>390</c:v>
                </c:pt>
                <c:pt idx="3">
                  <c:v>388.75</c:v>
                </c:pt>
                <c:pt idx="4">
                  <c:v>387</c:v>
                </c:pt>
                <c:pt idx="5">
                  <c:v>382.25</c:v>
                </c:pt>
                <c:pt idx="6">
                  <c:v>382.75</c:v>
                </c:pt>
                <c:pt idx="7">
                  <c:v>384.5</c:v>
                </c:pt>
                <c:pt idx="8">
                  <c:v>373</c:v>
                </c:pt>
                <c:pt idx="9">
                  <c:v>364.25</c:v>
                </c:pt>
                <c:pt idx="10">
                  <c:v>373.25</c:v>
                </c:pt>
                <c:pt idx="11">
                  <c:v>378.25</c:v>
                </c:pt>
                <c:pt idx="12">
                  <c:v>356.5</c:v>
                </c:pt>
                <c:pt idx="13">
                  <c:v>362.5</c:v>
                </c:pt>
                <c:pt idx="14">
                  <c:v>361</c:v>
                </c:pt>
                <c:pt idx="15">
                  <c:v>358.5</c:v>
                </c:pt>
                <c:pt idx="16">
                  <c:v>351.25</c:v>
                </c:pt>
                <c:pt idx="17">
                  <c:v>363</c:v>
                </c:pt>
                <c:pt idx="18">
                  <c:v>342.5</c:v>
                </c:pt>
              </c:numCache>
            </c:numRef>
          </c:val>
          <c:smooth val="0"/>
        </c:ser>
        <c:ser>
          <c:idx val="0"/>
          <c:order val="1"/>
          <c:tx>
            <c:strRef>
              <c:f>チャート!$D$35</c:f>
              <c:strCache>
                <c:ptCount val="1"/>
                <c:pt idx="0">
                  <c:v>７月限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diamond"/>
            <c:size val="5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チャート!$A$469:$A$491</c:f>
              <c:numCache>
                <c:formatCode>m"月"d"日"</c:formatCode>
                <c:ptCount val="23"/>
                <c:pt idx="0">
                  <c:v>43469</c:v>
                </c:pt>
                <c:pt idx="1">
                  <c:v>43476</c:v>
                </c:pt>
                <c:pt idx="2">
                  <c:v>43483</c:v>
                </c:pt>
                <c:pt idx="3">
                  <c:v>43490</c:v>
                </c:pt>
                <c:pt idx="4">
                  <c:v>43497</c:v>
                </c:pt>
                <c:pt idx="5">
                  <c:v>43504</c:v>
                </c:pt>
                <c:pt idx="6">
                  <c:v>43511</c:v>
                </c:pt>
                <c:pt idx="7">
                  <c:v>43518</c:v>
                </c:pt>
                <c:pt idx="8">
                  <c:v>43525</c:v>
                </c:pt>
                <c:pt idx="9">
                  <c:v>43532</c:v>
                </c:pt>
                <c:pt idx="10">
                  <c:v>43539</c:v>
                </c:pt>
                <c:pt idx="11">
                  <c:v>43546</c:v>
                </c:pt>
                <c:pt idx="12">
                  <c:v>43553</c:v>
                </c:pt>
                <c:pt idx="13">
                  <c:v>43560</c:v>
                </c:pt>
                <c:pt idx="14">
                  <c:v>43567</c:v>
                </c:pt>
                <c:pt idx="15">
                  <c:v>43573</c:v>
                </c:pt>
                <c:pt idx="16">
                  <c:v>43581</c:v>
                </c:pt>
                <c:pt idx="17">
                  <c:v>43588</c:v>
                </c:pt>
                <c:pt idx="18">
                  <c:v>43595</c:v>
                </c:pt>
                <c:pt idx="19">
                  <c:v>43602</c:v>
                </c:pt>
                <c:pt idx="20">
                  <c:v>43609</c:v>
                </c:pt>
                <c:pt idx="21">
                  <c:v>43616</c:v>
                </c:pt>
                <c:pt idx="22">
                  <c:v>43623</c:v>
                </c:pt>
              </c:numCache>
            </c:numRef>
          </c:cat>
          <c:val>
            <c:numRef>
              <c:f>チャート!$D$469:$D$491</c:f>
              <c:numCache>
                <c:formatCode>General</c:formatCode>
                <c:ptCount val="23"/>
                <c:pt idx="10">
                  <c:v>382.25</c:v>
                </c:pt>
                <c:pt idx="11">
                  <c:v>387.5</c:v>
                </c:pt>
                <c:pt idx="12">
                  <c:v>366.25</c:v>
                </c:pt>
                <c:pt idx="13">
                  <c:v>371</c:v>
                </c:pt>
                <c:pt idx="14">
                  <c:v>369.5</c:v>
                </c:pt>
                <c:pt idx="15">
                  <c:v>367.25</c:v>
                </c:pt>
                <c:pt idx="16">
                  <c:v>361.25</c:v>
                </c:pt>
                <c:pt idx="17">
                  <c:v>370.75</c:v>
                </c:pt>
                <c:pt idx="18">
                  <c:v>351.75</c:v>
                </c:pt>
                <c:pt idx="19">
                  <c:v>383.25</c:v>
                </c:pt>
                <c:pt idx="20">
                  <c:v>404.25</c:v>
                </c:pt>
                <c:pt idx="21">
                  <c:v>427</c:v>
                </c:pt>
                <c:pt idx="22">
                  <c:v>415.75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07696768"/>
        <c:axId val="307899392"/>
      </c:lineChart>
      <c:catAx>
        <c:axId val="307696768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chemeClr val="tx1"/>
            </a:solidFill>
          </a:ln>
        </c:spPr>
        <c:txPr>
          <a:bodyPr rot="-2700000" vert="horz"/>
          <a:lstStyle/>
          <a:p>
            <a:pPr>
              <a:defRPr sz="1200">
                <a:solidFill>
                  <a:sysClr val="windowText" lastClr="000000"/>
                </a:solidFill>
              </a:defRPr>
            </a:pPr>
            <a:endParaRPr lang="ja-JP"/>
          </a:p>
        </c:txPr>
        <c:crossAx val="307899392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307899392"/>
        <c:scaling>
          <c:orientation val="minMax"/>
          <c:max val="430"/>
          <c:min val="330"/>
        </c:scaling>
        <c:delete val="0"/>
        <c:axPos val="l"/>
        <c:majorGridlines>
          <c:spPr>
            <a:ln w="3175">
              <a:prstDash val="sysDash"/>
            </a:ln>
          </c:spPr>
        </c:majorGridlines>
        <c:numFmt formatCode="General" sourceLinked="1"/>
        <c:majorTickMark val="none"/>
        <c:minorTickMark val="none"/>
        <c:tickLblPos val="nextTo"/>
        <c:spPr>
          <a:ln>
            <a:solidFill>
              <a:schemeClr val="tx1"/>
            </a:solidFill>
          </a:ln>
        </c:spPr>
        <c:txPr>
          <a:bodyPr/>
          <a:lstStyle/>
          <a:p>
            <a:pPr>
              <a:defRPr sz="1200"/>
            </a:pPr>
            <a:endParaRPr lang="ja-JP"/>
          </a:p>
        </c:txPr>
        <c:crossAx val="307696768"/>
        <c:crosses val="autoZero"/>
        <c:crossBetween val="between"/>
        <c:minorUnit val="10"/>
      </c:valAx>
      <c:spPr>
        <a:ln>
          <a:solidFill>
            <a:schemeClr val="tx1"/>
          </a:solidFill>
        </a:ln>
      </c:spPr>
    </c:plotArea>
    <c:legend>
      <c:legendPos val="r"/>
      <c:layout>
        <c:manualLayout>
          <c:xMode val="edge"/>
          <c:yMode val="edge"/>
          <c:x val="0.10779776290339946"/>
          <c:y val="0.14124158393244324"/>
          <c:w val="0.13703138748170032"/>
          <c:h val="0.14320327277526063"/>
        </c:manualLayout>
      </c:layout>
      <c:overlay val="0"/>
      <c:spPr>
        <a:solidFill>
          <a:schemeClr val="bg1"/>
        </a:solidFill>
        <a:ln>
          <a:solidFill>
            <a:schemeClr val="tx1"/>
          </a:solidFill>
        </a:ln>
      </c:spPr>
      <c:txPr>
        <a:bodyPr/>
        <a:lstStyle/>
        <a:p>
          <a:pPr>
            <a:defRPr sz="1000"/>
          </a:pPr>
          <a:endParaRPr lang="ja-JP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ＭＳ Ｐ明朝" pitchFamily="18" charset="-128"/>
          <a:ea typeface="ＭＳ Ｐ明朝" pitchFamily="18" charset="-128"/>
        </a:defRPr>
      </a:pPr>
      <a:endParaRPr lang="ja-JP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大豆粕シカゴ定期の推移</a:t>
            </a:r>
          </a:p>
        </c:rich>
      </c:tx>
      <c:layout>
        <c:manualLayout>
          <c:xMode val="edge"/>
          <c:yMode val="edge"/>
          <c:x val="0.33209221172603071"/>
          <c:y val="2.6408756783215604E-3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7.6175923554110195E-2"/>
          <c:y val="0.11263718203448868"/>
          <c:w val="0.8957323059296618"/>
          <c:h val="0.67681798617616518"/>
        </c:manualLayout>
      </c:layout>
      <c:lineChart>
        <c:grouping val="standard"/>
        <c:varyColors val="0"/>
        <c:ser>
          <c:idx val="1"/>
          <c:order val="0"/>
          <c:spPr>
            <a:ln w="12700">
              <a:solidFill>
                <a:schemeClr val="tx1"/>
              </a:solidFill>
              <a:prstDash val="solid"/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  <a:prstDash val="solid"/>
              </a:ln>
            </c:spPr>
          </c:marker>
          <c:cat>
            <c:numRef>
              <c:f>チャート!$AP$469:$AP$491</c:f>
              <c:numCache>
                <c:formatCode>m"月"d"日"</c:formatCode>
                <c:ptCount val="23"/>
                <c:pt idx="0">
                  <c:v>43469</c:v>
                </c:pt>
                <c:pt idx="1">
                  <c:v>43476</c:v>
                </c:pt>
                <c:pt idx="2">
                  <c:v>43483</c:v>
                </c:pt>
                <c:pt idx="3">
                  <c:v>43490</c:v>
                </c:pt>
                <c:pt idx="4">
                  <c:v>43497</c:v>
                </c:pt>
                <c:pt idx="5">
                  <c:v>43504</c:v>
                </c:pt>
                <c:pt idx="6">
                  <c:v>43511</c:v>
                </c:pt>
                <c:pt idx="7">
                  <c:v>43518</c:v>
                </c:pt>
                <c:pt idx="8">
                  <c:v>43525</c:v>
                </c:pt>
                <c:pt idx="9">
                  <c:v>43532</c:v>
                </c:pt>
                <c:pt idx="10">
                  <c:v>43539</c:v>
                </c:pt>
                <c:pt idx="11">
                  <c:v>43546</c:v>
                </c:pt>
                <c:pt idx="12">
                  <c:v>43553</c:v>
                </c:pt>
                <c:pt idx="13">
                  <c:v>43560</c:v>
                </c:pt>
                <c:pt idx="14">
                  <c:v>43567</c:v>
                </c:pt>
                <c:pt idx="15">
                  <c:v>43573</c:v>
                </c:pt>
                <c:pt idx="16">
                  <c:v>43581</c:v>
                </c:pt>
                <c:pt idx="17">
                  <c:v>43588</c:v>
                </c:pt>
                <c:pt idx="18">
                  <c:v>43595</c:v>
                </c:pt>
                <c:pt idx="19">
                  <c:v>43602</c:v>
                </c:pt>
                <c:pt idx="20">
                  <c:v>43609</c:v>
                </c:pt>
                <c:pt idx="21">
                  <c:v>43616</c:v>
                </c:pt>
                <c:pt idx="22">
                  <c:v>43623</c:v>
                </c:pt>
              </c:numCache>
            </c:numRef>
          </c:cat>
          <c:val>
            <c:numRef>
              <c:f>チャート!$AQ$469:$AQ$491</c:f>
              <c:numCache>
                <c:formatCode>#,##0.00_);[Red]\(#,##0.00\)</c:formatCode>
                <c:ptCount val="23"/>
                <c:pt idx="0">
                  <c:v>347.33473000000004</c:v>
                </c:pt>
                <c:pt idx="1">
                  <c:v>342.15391999999997</c:v>
                </c:pt>
                <c:pt idx="2">
                  <c:v>347.33473000000004</c:v>
                </c:pt>
                <c:pt idx="3">
                  <c:v>346.01197000000002</c:v>
                </c:pt>
                <c:pt idx="4">
                  <c:v>343.69714000000005</c:v>
                </c:pt>
                <c:pt idx="5">
                  <c:v>337.41403000000003</c:v>
                </c:pt>
                <c:pt idx="6">
                  <c:v>337.85495000000003</c:v>
                </c:pt>
                <c:pt idx="7">
                  <c:v>336.86288000000002</c:v>
                </c:pt>
                <c:pt idx="8">
                  <c:v>334.32759000000004</c:v>
                </c:pt>
                <c:pt idx="9">
                  <c:v>329.69793000000004</c:v>
                </c:pt>
                <c:pt idx="10">
                  <c:v>342.59484000000003</c:v>
                </c:pt>
                <c:pt idx="11">
                  <c:v>347.22450000000003</c:v>
                </c:pt>
                <c:pt idx="12">
                  <c:v>337.85495000000003</c:v>
                </c:pt>
                <c:pt idx="13">
                  <c:v>339.50839999999999</c:v>
                </c:pt>
                <c:pt idx="14">
                  <c:v>339.39816999999999</c:v>
                </c:pt>
                <c:pt idx="15">
                  <c:v>334.21735999999999</c:v>
                </c:pt>
                <c:pt idx="16">
                  <c:v>330.57977</c:v>
                </c:pt>
                <c:pt idx="17">
                  <c:v>328.70586000000003</c:v>
                </c:pt>
                <c:pt idx="18">
                  <c:v>316.69079000000005</c:v>
                </c:pt>
                <c:pt idx="19">
                  <c:v>324.40689000000003</c:v>
                </c:pt>
                <c:pt idx="20">
                  <c:v>331.24115</c:v>
                </c:pt>
                <c:pt idx="21">
                  <c:v>354.16899000000001</c:v>
                </c:pt>
                <c:pt idx="22">
                  <c:v>344.24829000000005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08483968"/>
        <c:axId val="308529408"/>
      </c:lineChart>
      <c:catAx>
        <c:axId val="308483968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308529408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308529408"/>
        <c:scaling>
          <c:orientation val="minMax"/>
          <c:max val="400"/>
          <c:min val="300"/>
        </c:scaling>
        <c:delete val="0"/>
        <c:axPos val="l"/>
        <c:majorGridlines>
          <c:spPr>
            <a:ln w="3175">
              <a:solidFill>
                <a:schemeClr val="tx1">
                  <a:lumMod val="50000"/>
                  <a:lumOff val="50000"/>
                </a:schemeClr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25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ドル/トン</a:t>
                </a:r>
              </a:p>
            </c:rich>
          </c:tx>
          <c:layout>
            <c:manualLayout>
              <c:xMode val="edge"/>
              <c:yMode val="edge"/>
              <c:x val="4.2416480118203044E-2"/>
              <c:y val="2.1126564786878275E-2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none"/>
        <c:minorTickMark val="none"/>
        <c:tickLblPos val="nextTo"/>
        <c:spPr>
          <a:solidFill>
            <a:srgbClr val="FFFFFF"/>
          </a:solidFill>
          <a:ln w="3175">
            <a:solidFill>
              <a:schemeClr val="tx1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308483968"/>
        <c:crosses val="autoZero"/>
        <c:crossBetween val="between"/>
        <c:majorUnit val="10"/>
        <c:minorUnit val="10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ドル円為替相場（東京市場対顧客電信相場）</a:t>
            </a:r>
          </a:p>
        </c:rich>
      </c:tx>
      <c:layout>
        <c:manualLayout>
          <c:xMode val="edge"/>
          <c:yMode val="edge"/>
          <c:x val="0.19753355830521185"/>
          <c:y val="1.1253685881857361E-3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7.5707086614173233E-2"/>
          <c:y val="0.11260749813680697"/>
          <c:w val="0.89988496437945253"/>
          <c:h val="0.61999546353002166"/>
        </c:manualLayout>
      </c:layout>
      <c:lineChart>
        <c:grouping val="standard"/>
        <c:varyColors val="0"/>
        <c:ser>
          <c:idx val="0"/>
          <c:order val="0"/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チャート!$AC$469:$AC$491</c:f>
              <c:numCache>
                <c:formatCode>m"月"d"日"</c:formatCode>
                <c:ptCount val="23"/>
                <c:pt idx="0">
                  <c:v>43469</c:v>
                </c:pt>
                <c:pt idx="1">
                  <c:v>43476</c:v>
                </c:pt>
                <c:pt idx="2">
                  <c:v>43483</c:v>
                </c:pt>
                <c:pt idx="3">
                  <c:v>43490</c:v>
                </c:pt>
                <c:pt idx="4">
                  <c:v>43497</c:v>
                </c:pt>
                <c:pt idx="5">
                  <c:v>43504</c:v>
                </c:pt>
                <c:pt idx="6">
                  <c:v>43511</c:v>
                </c:pt>
                <c:pt idx="7">
                  <c:v>43518</c:v>
                </c:pt>
                <c:pt idx="8">
                  <c:v>43525</c:v>
                </c:pt>
                <c:pt idx="9">
                  <c:v>43532</c:v>
                </c:pt>
                <c:pt idx="10">
                  <c:v>43539</c:v>
                </c:pt>
                <c:pt idx="11">
                  <c:v>43546</c:v>
                </c:pt>
                <c:pt idx="12">
                  <c:v>43553</c:v>
                </c:pt>
                <c:pt idx="13">
                  <c:v>43560</c:v>
                </c:pt>
                <c:pt idx="14">
                  <c:v>43567</c:v>
                </c:pt>
                <c:pt idx="15">
                  <c:v>43573</c:v>
                </c:pt>
                <c:pt idx="16">
                  <c:v>43581</c:v>
                </c:pt>
                <c:pt idx="17">
                  <c:v>43588</c:v>
                </c:pt>
                <c:pt idx="18">
                  <c:v>43595</c:v>
                </c:pt>
                <c:pt idx="19">
                  <c:v>43602</c:v>
                </c:pt>
                <c:pt idx="20">
                  <c:v>43609</c:v>
                </c:pt>
                <c:pt idx="21">
                  <c:v>43616</c:v>
                </c:pt>
                <c:pt idx="22">
                  <c:v>43623</c:v>
                </c:pt>
              </c:numCache>
            </c:numRef>
          </c:cat>
          <c:val>
            <c:numRef>
              <c:f>チャート!$AD$469:$AD$491</c:f>
              <c:numCache>
                <c:formatCode>General</c:formatCode>
                <c:ptCount val="23"/>
                <c:pt idx="0">
                  <c:v>107.66</c:v>
                </c:pt>
                <c:pt idx="1">
                  <c:v>108.47</c:v>
                </c:pt>
                <c:pt idx="2">
                  <c:v>109.39</c:v>
                </c:pt>
                <c:pt idx="3">
                  <c:v>109.77</c:v>
                </c:pt>
                <c:pt idx="4">
                  <c:v>108.94</c:v>
                </c:pt>
                <c:pt idx="5">
                  <c:v>109.84</c:v>
                </c:pt>
                <c:pt idx="6">
                  <c:v>110.44</c:v>
                </c:pt>
                <c:pt idx="7">
                  <c:v>110.78</c:v>
                </c:pt>
                <c:pt idx="8">
                  <c:v>111.54</c:v>
                </c:pt>
                <c:pt idx="9">
                  <c:v>111.58</c:v>
                </c:pt>
                <c:pt idx="10">
                  <c:v>111.94</c:v>
                </c:pt>
                <c:pt idx="11">
                  <c:v>110.74</c:v>
                </c:pt>
                <c:pt idx="12">
                  <c:v>110.99</c:v>
                </c:pt>
                <c:pt idx="13">
                  <c:v>111.81</c:v>
                </c:pt>
                <c:pt idx="14">
                  <c:v>111.69</c:v>
                </c:pt>
                <c:pt idx="15">
                  <c:v>112.01</c:v>
                </c:pt>
                <c:pt idx="16">
                  <c:v>111.85</c:v>
                </c:pt>
                <c:pt idx="17">
                  <c:v>110.69</c:v>
                </c:pt>
                <c:pt idx="18">
                  <c:v>109.86</c:v>
                </c:pt>
                <c:pt idx="19">
                  <c:v>110</c:v>
                </c:pt>
                <c:pt idx="20">
                  <c:v>109.75</c:v>
                </c:pt>
                <c:pt idx="21">
                  <c:v>109.36</c:v>
                </c:pt>
                <c:pt idx="22">
                  <c:v>108.52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08928512"/>
        <c:axId val="308931968"/>
      </c:lineChart>
      <c:catAx>
        <c:axId val="308928512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308931968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308931968"/>
        <c:scaling>
          <c:orientation val="minMax"/>
          <c:max val="116"/>
          <c:min val="104"/>
        </c:scaling>
        <c:delete val="0"/>
        <c:axPos val="l"/>
        <c:majorGridlines>
          <c:spPr>
            <a:ln w="3175">
              <a:solidFill>
                <a:schemeClr val="tx1">
                  <a:lumMod val="50000"/>
                  <a:lumOff val="50000"/>
                </a:schemeClr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5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円/ドル</a:t>
                </a:r>
              </a:p>
            </c:rich>
          </c:tx>
          <c:layout>
            <c:manualLayout>
              <c:xMode val="edge"/>
              <c:yMode val="edge"/>
              <c:x val="4.645159355080615E-2"/>
              <c:y val="1.6896082434140178E-2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none"/>
        <c:minorTickMark val="none"/>
        <c:tickLblPos val="nextTo"/>
        <c:spPr>
          <a:ln w="3175">
            <a:solidFill>
              <a:schemeClr val="tx1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308928512"/>
        <c:crosses val="autoZero"/>
        <c:crossBetween val="between"/>
        <c:majorUnit val="2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0.36168</cdr:x>
      <cdr:y>0.01358</cdr:y>
    </cdr:from>
    <cdr:to>
      <cdr:x>0.65306</cdr:x>
      <cdr:y>0.08659</cdr:y>
    </cdr:to>
    <cdr:sp macro="" textlink="">
      <cdr:nvSpPr>
        <cdr:cNvPr id="2" name="テキスト ボックス 1"/>
        <cdr:cNvSpPr txBox="1"/>
      </cdr:nvSpPr>
      <cdr:spPr>
        <a:xfrm xmlns:a="http://schemas.openxmlformats.org/drawingml/2006/main">
          <a:off x="2414946" y="46307"/>
          <a:ext cx="1945552" cy="24896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ctr"/>
        <a:lstStyle xmlns:a="http://schemas.openxmlformats.org/drawingml/2006/main"/>
        <a:p xmlns:a="http://schemas.openxmlformats.org/drawingml/2006/main">
          <a:pPr algn="ctr"/>
          <a:r>
            <a:rPr lang="ja-JP" altLang="en-US" sz="1800">
              <a:latin typeface="ＭＳ Ｐ明朝" pitchFamily="18" charset="-128"/>
              <a:ea typeface="ＭＳ Ｐ明朝" pitchFamily="18" charset="-128"/>
            </a:rPr>
            <a:t>とうもろこしシカゴ定期の推移</a:t>
          </a:r>
        </a:p>
      </cdr:txBody>
    </cdr:sp>
  </cdr:relSizeAnchor>
  <cdr:relSizeAnchor xmlns:cdr="http://schemas.openxmlformats.org/drawingml/2006/chartDrawing">
    <cdr:from>
      <cdr:x>0.01348</cdr:x>
      <cdr:y>0.00846</cdr:y>
    </cdr:from>
    <cdr:to>
      <cdr:x>0.15966</cdr:x>
      <cdr:y>0.09394</cdr:y>
    </cdr:to>
    <cdr:sp macro="" textlink="">
      <cdr:nvSpPr>
        <cdr:cNvPr id="3" name="テキスト ボックス 2"/>
        <cdr:cNvSpPr txBox="1"/>
      </cdr:nvSpPr>
      <cdr:spPr>
        <a:xfrm xmlns:a="http://schemas.openxmlformats.org/drawingml/2006/main">
          <a:off x="90006" y="26592"/>
          <a:ext cx="976048" cy="26868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セント</a:t>
          </a:r>
          <a:r>
            <a:rPr lang="en-US" altLang="ja-JP" sz="1050">
              <a:latin typeface="ＭＳ Ｐ明朝" pitchFamily="18" charset="-128"/>
              <a:ea typeface="ＭＳ Ｐ明朝" pitchFamily="18" charset="-128"/>
            </a:rPr>
            <a:t>/</a:t>
          </a:r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ブッシェル</a:t>
          </a:r>
        </a:p>
      </cdr:txBody>
    </cdr:sp>
  </cdr:relSizeAnchor>
</c:userShape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ホクレン農業協同組合連合会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M4162E</dc:creator>
  <cp:lastModifiedBy>M4162E</cp:lastModifiedBy>
  <cp:revision>18</cp:revision>
  <cp:lastPrinted>2019-06-14T05:13:00Z</cp:lastPrinted>
  <dcterms:created xsi:type="dcterms:W3CDTF">2019-03-15T06:09:00Z</dcterms:created>
  <dcterms:modified xsi:type="dcterms:W3CDTF">2019-06-14T05:23:00Z</dcterms:modified>
</cp:coreProperties>
</file>