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19C" w:rsidRDefault="00BB6618" w:rsidP="00BB6618">
      <w:pPr>
        <w:ind w:rightChars="-342" w:right="-718"/>
        <w:rPr>
          <w:rFonts w:hint="eastAsia"/>
        </w:rPr>
      </w:pPr>
      <w:r>
        <w:rPr>
          <w:noProof/>
        </w:rPr>
        <w:drawing>
          <wp:inline distT="0" distB="0" distL="0" distR="0" wp14:anchorId="32AD0F98" wp14:editId="343BFCE8">
            <wp:extent cx="6848475" cy="3086100"/>
            <wp:effectExtent l="0" t="0" r="0" b="0"/>
            <wp:docPr id="1" name="グラフ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6503F0" w:rsidRDefault="006503F0" w:rsidP="00BB6618">
      <w:pPr>
        <w:ind w:rightChars="-342" w:right="-718"/>
      </w:pPr>
      <w:bookmarkStart w:id="0" w:name="_GoBack"/>
      <w:r>
        <w:rPr>
          <w:noProof/>
        </w:rPr>
        <w:drawing>
          <wp:inline distT="0" distB="0" distL="0" distR="0" wp14:anchorId="202F1593" wp14:editId="495B750E">
            <wp:extent cx="6886575" cy="3019425"/>
            <wp:effectExtent l="0" t="0" r="0" b="0"/>
            <wp:docPr id="4" name="グラフ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  <w:bookmarkEnd w:id="0"/>
      <w:r w:rsidR="00BB6618">
        <w:rPr>
          <w:noProof/>
        </w:rPr>
        <w:drawing>
          <wp:inline distT="0" distB="0" distL="0" distR="0" wp14:anchorId="56059D44" wp14:editId="306F0F6C">
            <wp:extent cx="6781800" cy="3019425"/>
            <wp:effectExtent l="0" t="0" r="0" b="0"/>
            <wp:docPr id="3" name="グラフ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sectPr w:rsidR="006503F0" w:rsidSect="00BB661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618"/>
    <w:rsid w:val="000C4D76"/>
    <w:rsid w:val="00161F9C"/>
    <w:rsid w:val="00277964"/>
    <w:rsid w:val="0034628D"/>
    <w:rsid w:val="004562AD"/>
    <w:rsid w:val="004A24D7"/>
    <w:rsid w:val="006503F0"/>
    <w:rsid w:val="006D13FC"/>
    <w:rsid w:val="007765BB"/>
    <w:rsid w:val="007B4534"/>
    <w:rsid w:val="007E1E88"/>
    <w:rsid w:val="00890006"/>
    <w:rsid w:val="00AA719C"/>
    <w:rsid w:val="00B04B9B"/>
    <w:rsid w:val="00B15149"/>
    <w:rsid w:val="00B408DE"/>
    <w:rsid w:val="00B67F73"/>
    <w:rsid w:val="00B7321F"/>
    <w:rsid w:val="00B855E9"/>
    <w:rsid w:val="00BB6618"/>
    <w:rsid w:val="00C21303"/>
    <w:rsid w:val="00C40C35"/>
    <w:rsid w:val="00C82A4C"/>
    <w:rsid w:val="00D61825"/>
    <w:rsid w:val="00D76C60"/>
    <w:rsid w:val="00E62EEA"/>
    <w:rsid w:val="00E71B1D"/>
    <w:rsid w:val="00EE4992"/>
    <w:rsid w:val="00F3213F"/>
    <w:rsid w:val="00FB5057"/>
    <w:rsid w:val="00FF6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66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BB661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66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BB661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7.6412591283232453E-2"/>
          <c:y val="0.10945086030912803"/>
          <c:w val="0.88936909311927104"/>
          <c:h val="0.67025098928409677"/>
        </c:manualLayout>
      </c:layout>
      <c:lineChart>
        <c:grouping val="standard"/>
        <c:varyColors val="0"/>
        <c:ser>
          <c:idx val="2"/>
          <c:order val="0"/>
          <c:tx>
            <c:strRef>
              <c:f>チャート!$B$35</c:f>
              <c:strCache>
                <c:ptCount val="1"/>
                <c:pt idx="0">
                  <c:v>３月限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square"/>
            <c:size val="5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チャート!$A$510:$A$531</c:f>
              <c:numCache>
                <c:formatCode>m"月"d"日"</c:formatCode>
                <c:ptCount val="22"/>
                <c:pt idx="0">
                  <c:v>43756</c:v>
                </c:pt>
                <c:pt idx="1">
                  <c:v>43763</c:v>
                </c:pt>
                <c:pt idx="2">
                  <c:v>43770</c:v>
                </c:pt>
                <c:pt idx="3">
                  <c:v>43777</c:v>
                </c:pt>
                <c:pt idx="4">
                  <c:v>43784</c:v>
                </c:pt>
                <c:pt idx="5">
                  <c:v>43791</c:v>
                </c:pt>
                <c:pt idx="6">
                  <c:v>43798</c:v>
                </c:pt>
                <c:pt idx="7">
                  <c:v>43805</c:v>
                </c:pt>
                <c:pt idx="8">
                  <c:v>43812</c:v>
                </c:pt>
                <c:pt idx="9" formatCode="m&quot;月&quot;d&quot;日&quot;;@">
                  <c:v>43819</c:v>
                </c:pt>
                <c:pt idx="10" formatCode="m&quot;月&quot;d&quot;日&quot;;@">
                  <c:v>43826</c:v>
                </c:pt>
                <c:pt idx="11" formatCode="m&quot;月&quot;d&quot;日&quot;;@">
                  <c:v>43833</c:v>
                </c:pt>
                <c:pt idx="12" formatCode="m&quot;月&quot;d&quot;日&quot;;@">
                  <c:v>43840</c:v>
                </c:pt>
                <c:pt idx="13" formatCode="m&quot;月&quot;d&quot;日&quot;;@">
                  <c:v>43847</c:v>
                </c:pt>
                <c:pt idx="14" formatCode="m&quot;月&quot;d&quot;日&quot;;@">
                  <c:v>43854</c:v>
                </c:pt>
                <c:pt idx="15" formatCode="m&quot;月&quot;d&quot;日&quot;;@">
                  <c:v>43861</c:v>
                </c:pt>
                <c:pt idx="16" formatCode="m&quot;月&quot;d&quot;日&quot;;@">
                  <c:v>43868</c:v>
                </c:pt>
                <c:pt idx="17" formatCode="m&quot;月&quot;d&quot;日&quot;;@">
                  <c:v>43875</c:v>
                </c:pt>
                <c:pt idx="18" formatCode="m&quot;月&quot;d&quot;日&quot;;@">
                  <c:v>43882</c:v>
                </c:pt>
                <c:pt idx="19" formatCode="m&quot;月&quot;d&quot;日&quot;;@">
                  <c:v>43889</c:v>
                </c:pt>
                <c:pt idx="20" formatCode="m&quot;月&quot;d&quot;日&quot;;@">
                  <c:v>43896</c:v>
                </c:pt>
                <c:pt idx="21" formatCode="m&quot;月&quot;d&quot;日&quot;;@">
                  <c:v>43903</c:v>
                </c:pt>
              </c:numCache>
            </c:numRef>
          </c:cat>
          <c:val>
            <c:numRef>
              <c:f>チャート!$B$510:$B$531</c:f>
              <c:numCache>
                <c:formatCode>General</c:formatCode>
                <c:ptCount val="22"/>
                <c:pt idx="0">
                  <c:v>402.75</c:v>
                </c:pt>
                <c:pt idx="1">
                  <c:v>397.5</c:v>
                </c:pt>
                <c:pt idx="2">
                  <c:v>398.5</c:v>
                </c:pt>
                <c:pt idx="3">
                  <c:v>386.5</c:v>
                </c:pt>
                <c:pt idx="4">
                  <c:v>380.75</c:v>
                </c:pt>
                <c:pt idx="5">
                  <c:v>378.5</c:v>
                </c:pt>
                <c:pt idx="6">
                  <c:v>381.25</c:v>
                </c:pt>
                <c:pt idx="7">
                  <c:v>376.75</c:v>
                </c:pt>
                <c:pt idx="8">
                  <c:v>381</c:v>
                </c:pt>
                <c:pt idx="9">
                  <c:v>387.75</c:v>
                </c:pt>
                <c:pt idx="10">
                  <c:v>390</c:v>
                </c:pt>
                <c:pt idx="11">
                  <c:v>386.5</c:v>
                </c:pt>
                <c:pt idx="12">
                  <c:v>385.75</c:v>
                </c:pt>
                <c:pt idx="13">
                  <c:v>389.25</c:v>
                </c:pt>
                <c:pt idx="14">
                  <c:v>387.25</c:v>
                </c:pt>
                <c:pt idx="15">
                  <c:v>381.25</c:v>
                </c:pt>
                <c:pt idx="16">
                  <c:v>383.5</c:v>
                </c:pt>
                <c:pt idx="17">
                  <c:v>377.75</c:v>
                </c:pt>
                <c:pt idx="18">
                  <c:v>377</c:v>
                </c:pt>
                <c:pt idx="19">
                  <c:v>366.5</c:v>
                </c:pt>
              </c:numCache>
            </c:numRef>
          </c:val>
          <c:smooth val="0"/>
        </c:ser>
        <c:ser>
          <c:idx val="0"/>
          <c:order val="1"/>
          <c:tx>
            <c:strRef>
              <c:f>チャート!$C$35</c:f>
              <c:strCache>
                <c:ptCount val="1"/>
                <c:pt idx="0">
                  <c:v>５月限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diamond"/>
            <c:size val="7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チャート!$A$510:$A$531</c:f>
              <c:numCache>
                <c:formatCode>m"月"d"日"</c:formatCode>
                <c:ptCount val="22"/>
                <c:pt idx="0">
                  <c:v>43756</c:v>
                </c:pt>
                <c:pt idx="1">
                  <c:v>43763</c:v>
                </c:pt>
                <c:pt idx="2">
                  <c:v>43770</c:v>
                </c:pt>
                <c:pt idx="3">
                  <c:v>43777</c:v>
                </c:pt>
                <c:pt idx="4">
                  <c:v>43784</c:v>
                </c:pt>
                <c:pt idx="5">
                  <c:v>43791</c:v>
                </c:pt>
                <c:pt idx="6">
                  <c:v>43798</c:v>
                </c:pt>
                <c:pt idx="7">
                  <c:v>43805</c:v>
                </c:pt>
                <c:pt idx="8">
                  <c:v>43812</c:v>
                </c:pt>
                <c:pt idx="9" formatCode="m&quot;月&quot;d&quot;日&quot;;@">
                  <c:v>43819</c:v>
                </c:pt>
                <c:pt idx="10" formatCode="m&quot;月&quot;d&quot;日&quot;;@">
                  <c:v>43826</c:v>
                </c:pt>
                <c:pt idx="11" formatCode="m&quot;月&quot;d&quot;日&quot;;@">
                  <c:v>43833</c:v>
                </c:pt>
                <c:pt idx="12" formatCode="m&quot;月&quot;d&quot;日&quot;;@">
                  <c:v>43840</c:v>
                </c:pt>
                <c:pt idx="13" formatCode="m&quot;月&quot;d&quot;日&quot;;@">
                  <c:v>43847</c:v>
                </c:pt>
                <c:pt idx="14" formatCode="m&quot;月&quot;d&quot;日&quot;;@">
                  <c:v>43854</c:v>
                </c:pt>
                <c:pt idx="15" formatCode="m&quot;月&quot;d&quot;日&quot;;@">
                  <c:v>43861</c:v>
                </c:pt>
                <c:pt idx="16" formatCode="m&quot;月&quot;d&quot;日&quot;;@">
                  <c:v>43868</c:v>
                </c:pt>
                <c:pt idx="17" formatCode="m&quot;月&quot;d&quot;日&quot;;@">
                  <c:v>43875</c:v>
                </c:pt>
                <c:pt idx="18" formatCode="m&quot;月&quot;d&quot;日&quot;;@">
                  <c:v>43882</c:v>
                </c:pt>
                <c:pt idx="19" formatCode="m&quot;月&quot;d&quot;日&quot;;@">
                  <c:v>43889</c:v>
                </c:pt>
                <c:pt idx="20" formatCode="m&quot;月&quot;d&quot;日&quot;;@">
                  <c:v>43896</c:v>
                </c:pt>
                <c:pt idx="21" formatCode="m&quot;月&quot;d&quot;日&quot;;@">
                  <c:v>43903</c:v>
                </c:pt>
              </c:numCache>
            </c:numRef>
          </c:cat>
          <c:val>
            <c:numRef>
              <c:f>チャート!$C$510:$C$531</c:f>
              <c:numCache>
                <c:formatCode>General</c:formatCode>
                <c:ptCount val="22"/>
                <c:pt idx="8">
                  <c:v>388</c:v>
                </c:pt>
                <c:pt idx="9">
                  <c:v>394</c:v>
                </c:pt>
                <c:pt idx="10">
                  <c:v>396.75</c:v>
                </c:pt>
                <c:pt idx="11">
                  <c:v>393</c:v>
                </c:pt>
                <c:pt idx="12">
                  <c:v>392.75</c:v>
                </c:pt>
                <c:pt idx="13">
                  <c:v>395.25</c:v>
                </c:pt>
                <c:pt idx="14">
                  <c:v>392.75</c:v>
                </c:pt>
                <c:pt idx="15">
                  <c:v>386.5</c:v>
                </c:pt>
                <c:pt idx="16">
                  <c:v>388.5</c:v>
                </c:pt>
                <c:pt idx="17">
                  <c:v>382</c:v>
                </c:pt>
                <c:pt idx="18">
                  <c:v>380.75</c:v>
                </c:pt>
                <c:pt idx="19">
                  <c:v>368.25</c:v>
                </c:pt>
                <c:pt idx="20">
                  <c:v>376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48295808"/>
        <c:axId val="248297728"/>
      </c:lineChart>
      <c:catAx>
        <c:axId val="248295808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>
            <a:solidFill>
              <a:schemeClr val="tx1"/>
            </a:solidFill>
          </a:ln>
        </c:spPr>
        <c:txPr>
          <a:bodyPr rot="-2700000" vert="horz"/>
          <a:lstStyle/>
          <a:p>
            <a:pPr>
              <a:defRPr sz="1200">
                <a:solidFill>
                  <a:sysClr val="windowText" lastClr="000000"/>
                </a:solidFill>
              </a:defRPr>
            </a:pPr>
            <a:endParaRPr lang="ja-JP"/>
          </a:p>
        </c:txPr>
        <c:crossAx val="248297728"/>
        <c:crosses val="autoZero"/>
        <c:auto val="0"/>
        <c:lblAlgn val="ctr"/>
        <c:lblOffset val="100"/>
        <c:tickLblSkip val="2"/>
        <c:tickMarkSkip val="2"/>
        <c:noMultiLvlLbl val="0"/>
      </c:catAx>
      <c:valAx>
        <c:axId val="248297728"/>
        <c:scaling>
          <c:orientation val="minMax"/>
          <c:max val="420"/>
          <c:min val="360"/>
        </c:scaling>
        <c:delete val="0"/>
        <c:axPos val="l"/>
        <c:majorGridlines>
          <c:spPr>
            <a:ln w="3175">
              <a:solidFill>
                <a:schemeClr val="tx1"/>
              </a:solidFill>
              <a:prstDash val="sysDash"/>
            </a:ln>
          </c:spPr>
        </c:majorGridlines>
        <c:numFmt formatCode="General" sourceLinked="1"/>
        <c:majorTickMark val="none"/>
        <c:minorTickMark val="none"/>
        <c:tickLblPos val="nextTo"/>
        <c:spPr>
          <a:ln>
            <a:solidFill>
              <a:schemeClr val="tx1"/>
            </a:solidFill>
          </a:ln>
        </c:spPr>
        <c:txPr>
          <a:bodyPr/>
          <a:lstStyle/>
          <a:p>
            <a:pPr>
              <a:defRPr sz="1200"/>
            </a:pPr>
            <a:endParaRPr lang="ja-JP"/>
          </a:p>
        </c:txPr>
        <c:crossAx val="248295808"/>
        <c:crosses val="autoZero"/>
        <c:crossBetween val="between"/>
        <c:minorUnit val="10"/>
      </c:valAx>
      <c:spPr>
        <a:solidFill>
          <a:schemeClr val="bg1"/>
        </a:solidFill>
        <a:ln w="9525">
          <a:solidFill>
            <a:schemeClr val="tx1"/>
          </a:solidFill>
        </a:ln>
      </c:spPr>
    </c:plotArea>
    <c:legend>
      <c:legendPos val="r"/>
      <c:layout>
        <c:manualLayout>
          <c:xMode val="edge"/>
          <c:yMode val="edge"/>
          <c:x val="0.76326247814294423"/>
          <c:y val="0.16190405365995916"/>
          <c:w val="0.16080558080448568"/>
          <c:h val="0.13575458211062569"/>
        </c:manualLayout>
      </c:layout>
      <c:overlay val="0"/>
      <c:spPr>
        <a:solidFill>
          <a:schemeClr val="bg1"/>
        </a:solidFill>
        <a:ln>
          <a:solidFill>
            <a:schemeClr val="tx1"/>
          </a:solidFill>
        </a:ln>
      </c:spPr>
      <c:txPr>
        <a:bodyPr/>
        <a:lstStyle/>
        <a:p>
          <a:pPr>
            <a:defRPr sz="1000"/>
          </a:pPr>
          <a:endParaRPr lang="ja-JP"/>
        </a:p>
      </c:txPr>
    </c:legend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ＭＳ Ｐ明朝" pitchFamily="18" charset="-128"/>
          <a:ea typeface="ＭＳ Ｐ明朝" pitchFamily="18" charset="-128"/>
        </a:defRPr>
      </a:pPr>
      <a:endParaRPr lang="ja-JP"/>
    </a:p>
  </c:txPr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25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800"/>
              <a:t>大豆粕シカゴ定期の推移</a:t>
            </a:r>
          </a:p>
        </c:rich>
      </c:tx>
      <c:layout>
        <c:manualLayout>
          <c:xMode val="edge"/>
          <c:yMode val="edge"/>
          <c:x val="0.33254716604407852"/>
          <c:y val="2.1487534878329496E-3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8.2415133792923187E-2"/>
          <c:y val="0.10882105036554973"/>
          <c:w val="0.8754954385888486"/>
          <c:h val="0.66263278604370035"/>
        </c:manualLayout>
      </c:layout>
      <c:lineChart>
        <c:grouping val="standard"/>
        <c:varyColors val="0"/>
        <c:ser>
          <c:idx val="1"/>
          <c:order val="0"/>
          <c:spPr>
            <a:ln w="12700">
              <a:solidFill>
                <a:schemeClr val="tx1"/>
              </a:solidFill>
              <a:prstDash val="solid"/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  <a:prstDash val="solid"/>
              </a:ln>
            </c:spPr>
          </c:marker>
          <c:cat>
            <c:numRef>
              <c:f>チャート!$AP$510:$AP$531</c:f>
              <c:numCache>
                <c:formatCode>m"月"d"日"</c:formatCode>
                <c:ptCount val="22"/>
                <c:pt idx="0">
                  <c:v>43756</c:v>
                </c:pt>
                <c:pt idx="1">
                  <c:v>43763</c:v>
                </c:pt>
                <c:pt idx="2">
                  <c:v>43770</c:v>
                </c:pt>
                <c:pt idx="3">
                  <c:v>43777</c:v>
                </c:pt>
                <c:pt idx="4">
                  <c:v>43784</c:v>
                </c:pt>
                <c:pt idx="5">
                  <c:v>43791</c:v>
                </c:pt>
                <c:pt idx="6">
                  <c:v>43798</c:v>
                </c:pt>
                <c:pt idx="7">
                  <c:v>43805</c:v>
                </c:pt>
                <c:pt idx="8">
                  <c:v>43812</c:v>
                </c:pt>
                <c:pt idx="9" formatCode="m&quot;月&quot;d&quot;日&quot;;@">
                  <c:v>43819</c:v>
                </c:pt>
                <c:pt idx="10" formatCode="m&quot;月&quot;d&quot;日&quot;;@">
                  <c:v>43826</c:v>
                </c:pt>
                <c:pt idx="11" formatCode="m&quot;月&quot;d&quot;日&quot;;@">
                  <c:v>43833</c:v>
                </c:pt>
                <c:pt idx="12" formatCode="m&quot;月&quot;d&quot;日&quot;;@">
                  <c:v>43840</c:v>
                </c:pt>
                <c:pt idx="13" formatCode="m&quot;月&quot;d&quot;日&quot;;@">
                  <c:v>43847</c:v>
                </c:pt>
                <c:pt idx="14" formatCode="m&quot;月&quot;d&quot;日&quot;;@">
                  <c:v>43854</c:v>
                </c:pt>
                <c:pt idx="15" formatCode="m&quot;月&quot;d&quot;日&quot;;@">
                  <c:v>43861</c:v>
                </c:pt>
                <c:pt idx="16" formatCode="m&quot;月&quot;d&quot;日&quot;;@">
                  <c:v>43868</c:v>
                </c:pt>
                <c:pt idx="17" formatCode="m&quot;月&quot;d&quot;日&quot;;@">
                  <c:v>43875</c:v>
                </c:pt>
                <c:pt idx="18" formatCode="m&quot;月&quot;d&quot;日&quot;;@">
                  <c:v>43882</c:v>
                </c:pt>
                <c:pt idx="19" formatCode="m&quot;月&quot;d&quot;日&quot;;@">
                  <c:v>43889</c:v>
                </c:pt>
                <c:pt idx="20" formatCode="m&quot;月&quot;d&quot;日&quot;;@">
                  <c:v>43896</c:v>
                </c:pt>
                <c:pt idx="21" formatCode="m&quot;月&quot;d&quot;日&quot;;@">
                  <c:v>43903</c:v>
                </c:pt>
              </c:numCache>
            </c:numRef>
          </c:cat>
          <c:val>
            <c:numRef>
              <c:f>チャート!$AQ$510:$AQ$531</c:f>
              <c:numCache>
                <c:formatCode>#,##0.00_);[Red]\(#,##0.00\)</c:formatCode>
                <c:ptCount val="22"/>
                <c:pt idx="0">
                  <c:v>340.05955</c:v>
                </c:pt>
                <c:pt idx="1">
                  <c:v>334.32759000000004</c:v>
                </c:pt>
                <c:pt idx="2">
                  <c:v>334.98896999999999</c:v>
                </c:pt>
                <c:pt idx="3">
                  <c:v>336.09127000000001</c:v>
                </c:pt>
                <c:pt idx="4">
                  <c:v>338.51633000000004</c:v>
                </c:pt>
                <c:pt idx="5">
                  <c:v>329.58770000000004</c:v>
                </c:pt>
                <c:pt idx="6">
                  <c:v>320.65906999999999</c:v>
                </c:pt>
                <c:pt idx="7">
                  <c:v>329.91839000000004</c:v>
                </c:pt>
                <c:pt idx="8">
                  <c:v>327.27287000000001</c:v>
                </c:pt>
                <c:pt idx="9">
                  <c:v>328.37516999999997</c:v>
                </c:pt>
                <c:pt idx="10">
                  <c:v>325.61941999999999</c:v>
                </c:pt>
                <c:pt idx="11">
                  <c:v>332.01276000000001</c:v>
                </c:pt>
                <c:pt idx="12">
                  <c:v>334.54804999999999</c:v>
                </c:pt>
                <c:pt idx="13">
                  <c:v>331.35138000000006</c:v>
                </c:pt>
                <c:pt idx="14">
                  <c:v>328.81609000000003</c:v>
                </c:pt>
                <c:pt idx="15">
                  <c:v>320.76930000000004</c:v>
                </c:pt>
                <c:pt idx="16">
                  <c:v>318.89539000000002</c:v>
                </c:pt>
                <c:pt idx="17">
                  <c:v>320.87953000000005</c:v>
                </c:pt>
                <c:pt idx="18">
                  <c:v>318.78516000000002</c:v>
                </c:pt>
                <c:pt idx="19">
                  <c:v>329.14678000000004</c:v>
                </c:pt>
                <c:pt idx="20">
                  <c:v>336.31173000000007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58265856"/>
        <c:axId val="258268160"/>
      </c:lineChart>
      <c:catAx>
        <c:axId val="258265856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952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258268160"/>
        <c:crosses val="autoZero"/>
        <c:auto val="0"/>
        <c:lblAlgn val="ctr"/>
        <c:lblOffset val="100"/>
        <c:tickLblSkip val="2"/>
        <c:tickMarkSkip val="2"/>
        <c:noMultiLvlLbl val="0"/>
      </c:catAx>
      <c:valAx>
        <c:axId val="258268160"/>
        <c:scaling>
          <c:orientation val="minMax"/>
          <c:max val="360"/>
          <c:min val="300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100" b="0" i="0" u="none" strike="noStrike" baseline="0">
                    <a:solidFill>
                      <a:srgbClr val="000000"/>
                    </a:solidFill>
                    <a:latin typeface="Yu Gothic"/>
                    <a:ea typeface="Yu Gothic"/>
                    <a:cs typeface="Yu Gothic"/>
                  </a:defRPr>
                </a:pPr>
                <a:r>
                  <a:rPr lang="ja-JP" altLang="en-US" sz="1025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ドル/トン</a:t>
                </a:r>
              </a:p>
            </c:rich>
          </c:tx>
          <c:layout>
            <c:manualLayout>
              <c:xMode val="edge"/>
              <c:yMode val="edge"/>
              <c:x val="2.9507265948602899E-2"/>
              <c:y val="1.7077754870546545E-2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3175">
            <a:solidFill>
              <a:schemeClr val="tx1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258265856"/>
        <c:crosses val="autoZero"/>
        <c:crossBetween val="between"/>
        <c:majorUnit val="10"/>
        <c:minorUnit val="10"/>
      </c:valAx>
      <c:spPr>
        <a:solidFill>
          <a:srgbClr val="FFFFFF"/>
        </a:solidFill>
        <a:ln w="9525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25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800"/>
              <a:t>ドル円為替相場（東京市場対顧客電信相場）</a:t>
            </a:r>
          </a:p>
        </c:rich>
      </c:tx>
      <c:layout>
        <c:manualLayout>
          <c:xMode val="edge"/>
          <c:yMode val="edge"/>
          <c:x val="0.21505224764525072"/>
          <c:y val="2.0364861799682447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8.1663717597098118E-2"/>
          <c:y val="0.13450763099057061"/>
          <c:w val="0.89208536445787256"/>
          <c:h val="0.64593589839124999"/>
        </c:manualLayout>
      </c:layout>
      <c:lineChart>
        <c:grouping val="standard"/>
        <c:varyColors val="0"/>
        <c:ser>
          <c:idx val="0"/>
          <c:order val="0"/>
          <c:spPr>
            <a:ln w="12700">
              <a:solidFill>
                <a:schemeClr val="tx1"/>
              </a:solidFill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チャート!$AC$509:$AC$530</c:f>
              <c:numCache>
                <c:formatCode>m"月"d"日"</c:formatCode>
                <c:ptCount val="22"/>
                <c:pt idx="0">
                  <c:v>43749</c:v>
                </c:pt>
                <c:pt idx="1">
                  <c:v>43756</c:v>
                </c:pt>
                <c:pt idx="2">
                  <c:v>43763</c:v>
                </c:pt>
                <c:pt idx="3">
                  <c:v>43770</c:v>
                </c:pt>
                <c:pt idx="4">
                  <c:v>43777</c:v>
                </c:pt>
                <c:pt idx="5">
                  <c:v>43784</c:v>
                </c:pt>
                <c:pt idx="6">
                  <c:v>43791</c:v>
                </c:pt>
                <c:pt idx="7">
                  <c:v>43798</c:v>
                </c:pt>
                <c:pt idx="8">
                  <c:v>43805</c:v>
                </c:pt>
                <c:pt idx="9">
                  <c:v>43812</c:v>
                </c:pt>
                <c:pt idx="10" formatCode="m&quot;月&quot;d&quot;日&quot;;@">
                  <c:v>43819</c:v>
                </c:pt>
                <c:pt idx="11" formatCode="m&quot;月&quot;d&quot;日&quot;;@">
                  <c:v>43826</c:v>
                </c:pt>
                <c:pt idx="12" formatCode="m&quot;月&quot;d&quot;日&quot;;@">
                  <c:v>43840</c:v>
                </c:pt>
                <c:pt idx="13" formatCode="m&quot;月&quot;d&quot;日&quot;;@">
                  <c:v>43847</c:v>
                </c:pt>
                <c:pt idx="14" formatCode="m&quot;月&quot;d&quot;日&quot;;@">
                  <c:v>43854</c:v>
                </c:pt>
                <c:pt idx="15" formatCode="m&quot;月&quot;d&quot;日&quot;;@">
                  <c:v>43861</c:v>
                </c:pt>
                <c:pt idx="16" formatCode="m&quot;月&quot;d&quot;日&quot;;@">
                  <c:v>43868</c:v>
                </c:pt>
                <c:pt idx="17" formatCode="m&quot;月&quot;d&quot;日&quot;;@">
                  <c:v>43875</c:v>
                </c:pt>
                <c:pt idx="18" formatCode="m&quot;月&quot;d&quot;日&quot;;@">
                  <c:v>43882</c:v>
                </c:pt>
                <c:pt idx="19" formatCode="m&quot;月&quot;d&quot;日&quot;;@">
                  <c:v>43889</c:v>
                </c:pt>
                <c:pt idx="20" formatCode="m&quot;月&quot;d&quot;日&quot;;@">
                  <c:v>43896</c:v>
                </c:pt>
                <c:pt idx="21" formatCode="m&quot;月&quot;d&quot;日&quot;;@">
                  <c:v>43903</c:v>
                </c:pt>
              </c:numCache>
            </c:numRef>
          </c:cat>
          <c:val>
            <c:numRef>
              <c:f>チャート!$AD$509:$AD$530</c:f>
              <c:numCache>
                <c:formatCode>General</c:formatCode>
                <c:ptCount val="22"/>
                <c:pt idx="0">
                  <c:v>108.13</c:v>
                </c:pt>
                <c:pt idx="1">
                  <c:v>108.71</c:v>
                </c:pt>
                <c:pt idx="2">
                  <c:v>108.74</c:v>
                </c:pt>
                <c:pt idx="3">
                  <c:v>108.03</c:v>
                </c:pt>
                <c:pt idx="4">
                  <c:v>109.39</c:v>
                </c:pt>
                <c:pt idx="5">
                  <c:v>108.62</c:v>
                </c:pt>
                <c:pt idx="6">
                  <c:v>108.69</c:v>
                </c:pt>
                <c:pt idx="7">
                  <c:v>109.56</c:v>
                </c:pt>
                <c:pt idx="8">
                  <c:v>108.81</c:v>
                </c:pt>
                <c:pt idx="9">
                  <c:v>109.56</c:v>
                </c:pt>
                <c:pt idx="10">
                  <c:v>109.43</c:v>
                </c:pt>
                <c:pt idx="11">
                  <c:v>109.68</c:v>
                </c:pt>
                <c:pt idx="12">
                  <c:v>109.57</c:v>
                </c:pt>
                <c:pt idx="13">
                  <c:v>110.33</c:v>
                </c:pt>
                <c:pt idx="14">
                  <c:v>109.59</c:v>
                </c:pt>
                <c:pt idx="15">
                  <c:v>109.06</c:v>
                </c:pt>
                <c:pt idx="16">
                  <c:v>109.92</c:v>
                </c:pt>
                <c:pt idx="17">
                  <c:v>109.89</c:v>
                </c:pt>
                <c:pt idx="18">
                  <c:v>112.11</c:v>
                </c:pt>
                <c:pt idx="19">
                  <c:v>109.43</c:v>
                </c:pt>
                <c:pt idx="20">
                  <c:v>106.25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92537856"/>
        <c:axId val="299811584"/>
      </c:lineChart>
      <c:catAx>
        <c:axId val="292537856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952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299811584"/>
        <c:crosses val="autoZero"/>
        <c:auto val="0"/>
        <c:lblAlgn val="ctr"/>
        <c:lblOffset val="100"/>
        <c:tickLblSkip val="2"/>
        <c:tickMarkSkip val="2"/>
        <c:noMultiLvlLbl val="0"/>
      </c:catAx>
      <c:valAx>
        <c:axId val="299811584"/>
        <c:scaling>
          <c:orientation val="minMax"/>
          <c:max val="116"/>
          <c:min val="104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100" b="0" i="0" u="none" strike="noStrike" baseline="0">
                    <a:solidFill>
                      <a:srgbClr val="000000"/>
                    </a:solidFill>
                    <a:latin typeface="Yu Gothic"/>
                    <a:ea typeface="Yu Gothic"/>
                    <a:cs typeface="Yu Gothic"/>
                  </a:defRPr>
                </a:pPr>
                <a:r>
                  <a:rPr lang="ja-JP" altLang="en-US" sz="1050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円/ドル</a:t>
                </a:r>
              </a:p>
            </c:rich>
          </c:tx>
          <c:layout>
            <c:manualLayout>
              <c:xMode val="edge"/>
              <c:yMode val="edge"/>
              <c:x val="3.3342917809431126E-2"/>
              <c:y val="2.9241761446485857E-2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3175">
            <a:solidFill>
              <a:schemeClr val="tx1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292537856"/>
        <c:crosses val="autoZero"/>
        <c:crossBetween val="between"/>
        <c:majorUnit val="2"/>
      </c:valAx>
      <c:spPr>
        <a:solidFill>
          <a:srgbClr val="FFFFFF"/>
        </a:solidFill>
        <a:ln w="9525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0.36168</cdr:x>
      <cdr:y>0.01358</cdr:y>
    </cdr:from>
    <cdr:to>
      <cdr:x>0.65306</cdr:x>
      <cdr:y>0.10278</cdr:y>
    </cdr:to>
    <cdr:sp macro="" textlink="">
      <cdr:nvSpPr>
        <cdr:cNvPr id="2" name="テキスト ボックス 1"/>
        <cdr:cNvSpPr txBox="1"/>
      </cdr:nvSpPr>
      <cdr:spPr>
        <a:xfrm xmlns:a="http://schemas.openxmlformats.org/drawingml/2006/main">
          <a:off x="2476956" y="46565"/>
          <a:ext cx="1995509" cy="30586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 anchor="ctr"/>
        <a:lstStyle xmlns:a="http://schemas.openxmlformats.org/drawingml/2006/main"/>
        <a:p xmlns:a="http://schemas.openxmlformats.org/drawingml/2006/main">
          <a:pPr algn="ctr"/>
          <a:r>
            <a:rPr lang="ja-JP" altLang="en-US" sz="1800">
              <a:latin typeface="ＭＳ Ｐ明朝" pitchFamily="18" charset="-128"/>
              <a:ea typeface="ＭＳ Ｐ明朝" pitchFamily="18" charset="-128"/>
            </a:rPr>
            <a:t>とうもろこしシカゴ定期の推移</a:t>
          </a:r>
        </a:p>
      </cdr:txBody>
    </cdr:sp>
  </cdr:relSizeAnchor>
  <cdr:relSizeAnchor xmlns:cdr="http://schemas.openxmlformats.org/drawingml/2006/chartDrawing">
    <cdr:from>
      <cdr:x>0.01904</cdr:x>
      <cdr:y>0</cdr:y>
    </cdr:from>
    <cdr:to>
      <cdr:x>0.16522</cdr:x>
      <cdr:y>0.0721</cdr:y>
    </cdr:to>
    <cdr:sp macro="" textlink="">
      <cdr:nvSpPr>
        <cdr:cNvPr id="3" name="テキスト ボックス 2"/>
        <cdr:cNvSpPr txBox="1"/>
      </cdr:nvSpPr>
      <cdr:spPr>
        <a:xfrm xmlns:a="http://schemas.openxmlformats.org/drawingml/2006/main">
          <a:off x="130417" y="0"/>
          <a:ext cx="1001111" cy="22249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pPr algn="ctr"/>
          <a:r>
            <a:rPr lang="ja-JP" altLang="en-US" sz="1050">
              <a:latin typeface="ＭＳ Ｐ明朝" pitchFamily="18" charset="-128"/>
              <a:ea typeface="ＭＳ Ｐ明朝" pitchFamily="18" charset="-128"/>
            </a:rPr>
            <a:t>セント</a:t>
          </a:r>
          <a:r>
            <a:rPr lang="en-US" altLang="ja-JP" sz="1050">
              <a:latin typeface="ＭＳ Ｐ明朝" pitchFamily="18" charset="-128"/>
              <a:ea typeface="ＭＳ Ｐ明朝" pitchFamily="18" charset="-128"/>
            </a:rPr>
            <a:t>/</a:t>
          </a:r>
          <a:r>
            <a:rPr lang="ja-JP" altLang="en-US" sz="1050">
              <a:latin typeface="ＭＳ Ｐ明朝" pitchFamily="18" charset="-128"/>
              <a:ea typeface="ＭＳ Ｐ明朝" pitchFamily="18" charset="-128"/>
            </a:rPr>
            <a:t>ブッシェル</a:t>
          </a:r>
        </a:p>
      </cdr:txBody>
    </cdr:sp>
  </cdr:relSizeAnchor>
</c:userShape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ホクレン農業協同組合連合会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M4162E</dc:creator>
  <cp:lastModifiedBy>M4162E</cp:lastModifiedBy>
  <cp:revision>9</cp:revision>
  <cp:lastPrinted>2020-03-13T05:02:00Z</cp:lastPrinted>
  <dcterms:created xsi:type="dcterms:W3CDTF">2020-03-13T04:37:00Z</dcterms:created>
  <dcterms:modified xsi:type="dcterms:W3CDTF">2020-03-13T05:04:00Z</dcterms:modified>
</cp:coreProperties>
</file>