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525DA" w14:textId="0904819F" w:rsidR="00644658" w:rsidRDefault="00483596">
      <w:r>
        <w:rPr>
          <w:noProof/>
        </w:rPr>
        <w:drawing>
          <wp:inline distT="0" distB="0" distL="0" distR="0" wp14:anchorId="3060B46D" wp14:editId="71C8B257">
            <wp:extent cx="6645910" cy="3171825"/>
            <wp:effectExtent l="0" t="0" r="2540" b="0"/>
            <wp:docPr id="1" name="グラフ 1">
              <a:extLst xmlns:a="http://schemas.openxmlformats.org/drawingml/2006/main">
                <a:ext uri="{FF2B5EF4-FFF2-40B4-BE49-F238E27FC236}">
                  <a16:creationId xmlns:a16="http://schemas.microsoft.com/office/drawing/2014/main" id="{BDB20A4C-5620-40DC-9CE8-462BE107060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5F8A71" wp14:editId="75884B47">
            <wp:extent cx="6645910" cy="3152775"/>
            <wp:effectExtent l="0" t="0" r="2540" b="0"/>
            <wp:docPr id="2" name="グラフ 2">
              <a:extLst xmlns:a="http://schemas.openxmlformats.org/drawingml/2006/main">
                <a:ext uri="{FF2B5EF4-FFF2-40B4-BE49-F238E27FC236}">
                  <a16:creationId xmlns:a16="http://schemas.microsoft.com/office/drawing/2014/main" id="{452377F3-CB56-43E5-8EA6-FBB42A6C363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ED5F39" wp14:editId="4DCE8839">
            <wp:extent cx="6645910" cy="3057525"/>
            <wp:effectExtent l="0" t="0" r="2540" b="0"/>
            <wp:docPr id="3" name="グラフ 3">
              <a:extLst xmlns:a="http://schemas.openxmlformats.org/drawingml/2006/main">
                <a:ext uri="{FF2B5EF4-FFF2-40B4-BE49-F238E27FC236}">
                  <a16:creationId xmlns:a16="http://schemas.microsoft.com/office/drawing/2014/main" id="{AAD667F1-6A30-4C69-9CC0-0C647C4A64C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sectPr w:rsidR="00644658" w:rsidSect="00483596"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596"/>
    <w:rsid w:val="00483596"/>
    <w:rsid w:val="00514948"/>
    <w:rsid w:val="005672D9"/>
    <w:rsid w:val="00644658"/>
    <w:rsid w:val="00915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61835F2"/>
  <w15:chartTrackingRefBased/>
  <w15:docId w15:val="{A1F697A0-34C9-4EE3-A8E7-BD3D142F3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C:\Users\02010043\AppData\Local\Temp\Temp1_20230315181721.zip\&#12507;&#12463;&#12524;&#12531;&#27096;&#25552;&#20986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02010043\AppData\Local\Temp\Temp1_20230315181721.zip\&#12507;&#12463;&#12524;&#12531;&#27096;&#25552;&#20986;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02010043\AppData\Local\Temp\Temp1_20230315181721.zip\&#12507;&#12463;&#12524;&#12531;&#27096;&#25552;&#20986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6412591283232453E-2"/>
          <c:y val="8.58814720232043E-2"/>
          <c:w val="0.8875298920968212"/>
          <c:h val="0.69568213883174512"/>
        </c:manualLayout>
      </c:layout>
      <c:lineChart>
        <c:grouping val="standard"/>
        <c:varyColors val="0"/>
        <c:ser>
          <c:idx val="1"/>
          <c:order val="0"/>
          <c:tx>
            <c:v>３月限</c:v>
          </c:tx>
          <c:spPr>
            <a:ln w="6350">
              <a:solidFill>
                <a:schemeClr val="tx1"/>
              </a:solidFill>
            </a:ln>
          </c:spPr>
          <c:marker>
            <c:symbol val="square"/>
            <c:size val="5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チャート!$A$660:$A$687</c:f>
              <c:numCache>
                <c:formatCode>m"月"d"日"</c:formatCode>
                <c:ptCount val="28"/>
                <c:pt idx="0">
                  <c:v>44806</c:v>
                </c:pt>
                <c:pt idx="1">
                  <c:v>44813</c:v>
                </c:pt>
                <c:pt idx="2">
                  <c:v>44820</c:v>
                </c:pt>
                <c:pt idx="3">
                  <c:v>44827</c:v>
                </c:pt>
                <c:pt idx="4">
                  <c:v>44834</c:v>
                </c:pt>
                <c:pt idx="5">
                  <c:v>44841</c:v>
                </c:pt>
                <c:pt idx="6">
                  <c:v>44848</c:v>
                </c:pt>
                <c:pt idx="7">
                  <c:v>44855</c:v>
                </c:pt>
                <c:pt idx="8">
                  <c:v>44862</c:v>
                </c:pt>
                <c:pt idx="9">
                  <c:v>44869</c:v>
                </c:pt>
                <c:pt idx="10">
                  <c:v>44876</c:v>
                </c:pt>
                <c:pt idx="11">
                  <c:v>44883</c:v>
                </c:pt>
                <c:pt idx="12">
                  <c:v>44890</c:v>
                </c:pt>
                <c:pt idx="13">
                  <c:v>44897</c:v>
                </c:pt>
                <c:pt idx="14">
                  <c:v>45269</c:v>
                </c:pt>
                <c:pt idx="15">
                  <c:v>45276</c:v>
                </c:pt>
                <c:pt idx="16">
                  <c:v>45283</c:v>
                </c:pt>
                <c:pt idx="17">
                  <c:v>45290</c:v>
                </c:pt>
                <c:pt idx="18">
                  <c:v>44932</c:v>
                </c:pt>
                <c:pt idx="19">
                  <c:v>44939</c:v>
                </c:pt>
                <c:pt idx="20">
                  <c:v>44946</c:v>
                </c:pt>
                <c:pt idx="21">
                  <c:v>44953</c:v>
                </c:pt>
                <c:pt idx="22">
                  <c:v>44960</c:v>
                </c:pt>
                <c:pt idx="23">
                  <c:v>44967</c:v>
                </c:pt>
                <c:pt idx="24">
                  <c:v>44974</c:v>
                </c:pt>
                <c:pt idx="25">
                  <c:v>44981</c:v>
                </c:pt>
                <c:pt idx="26">
                  <c:v>44988</c:v>
                </c:pt>
                <c:pt idx="27">
                  <c:v>44995</c:v>
                </c:pt>
              </c:numCache>
            </c:numRef>
          </c:cat>
          <c:val>
            <c:numRef>
              <c:f>チャート!$B$660:$B$687</c:f>
              <c:numCache>
                <c:formatCode>General</c:formatCode>
                <c:ptCount val="28"/>
                <c:pt idx="0">
                  <c:v>671.25</c:v>
                </c:pt>
                <c:pt idx="1">
                  <c:v>689.25</c:v>
                </c:pt>
                <c:pt idx="2">
                  <c:v>683</c:v>
                </c:pt>
                <c:pt idx="3">
                  <c:v>681.75</c:v>
                </c:pt>
                <c:pt idx="4">
                  <c:v>684</c:v>
                </c:pt>
                <c:pt idx="5">
                  <c:v>691</c:v>
                </c:pt>
                <c:pt idx="6">
                  <c:v>696.25</c:v>
                </c:pt>
                <c:pt idx="7">
                  <c:v>690.5</c:v>
                </c:pt>
                <c:pt idx="8">
                  <c:v>686.75</c:v>
                </c:pt>
                <c:pt idx="9">
                  <c:v>686.75</c:v>
                </c:pt>
                <c:pt idx="10">
                  <c:v>663</c:v>
                </c:pt>
                <c:pt idx="11">
                  <c:v>670</c:v>
                </c:pt>
                <c:pt idx="12">
                  <c:v>671.25</c:v>
                </c:pt>
                <c:pt idx="13">
                  <c:v>646.25</c:v>
                </c:pt>
                <c:pt idx="14">
                  <c:v>644</c:v>
                </c:pt>
                <c:pt idx="15">
                  <c:v>653</c:v>
                </c:pt>
                <c:pt idx="16">
                  <c:v>666.25</c:v>
                </c:pt>
                <c:pt idx="17">
                  <c:v>678.5</c:v>
                </c:pt>
                <c:pt idx="18">
                  <c:v>654</c:v>
                </c:pt>
                <c:pt idx="19">
                  <c:v>675</c:v>
                </c:pt>
                <c:pt idx="20">
                  <c:v>676.25</c:v>
                </c:pt>
                <c:pt idx="21">
                  <c:v>683</c:v>
                </c:pt>
                <c:pt idx="22">
                  <c:v>677.5</c:v>
                </c:pt>
                <c:pt idx="23">
                  <c:v>680.5</c:v>
                </c:pt>
                <c:pt idx="24">
                  <c:v>677.75</c:v>
                </c:pt>
                <c:pt idx="25">
                  <c:v>650</c:v>
                </c:pt>
                <c:pt idx="26">
                  <c:v>645.25</c:v>
                </c:pt>
                <c:pt idx="27">
                  <c:v>624.25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954A-4217-A3EA-846FADF2097F}"/>
            </c:ext>
          </c:extLst>
        </c:ser>
        <c:ser>
          <c:idx val="4"/>
          <c:order val="1"/>
          <c:tx>
            <c:v>５月限</c:v>
          </c:tx>
          <c:spPr>
            <a:ln w="635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チャート!$A$660:$A$687</c:f>
              <c:numCache>
                <c:formatCode>m"月"d"日"</c:formatCode>
                <c:ptCount val="28"/>
                <c:pt idx="0">
                  <c:v>44806</c:v>
                </c:pt>
                <c:pt idx="1">
                  <c:v>44813</c:v>
                </c:pt>
                <c:pt idx="2">
                  <c:v>44820</c:v>
                </c:pt>
                <c:pt idx="3">
                  <c:v>44827</c:v>
                </c:pt>
                <c:pt idx="4">
                  <c:v>44834</c:v>
                </c:pt>
                <c:pt idx="5">
                  <c:v>44841</c:v>
                </c:pt>
                <c:pt idx="6">
                  <c:v>44848</c:v>
                </c:pt>
                <c:pt idx="7">
                  <c:v>44855</c:v>
                </c:pt>
                <c:pt idx="8">
                  <c:v>44862</c:v>
                </c:pt>
                <c:pt idx="9">
                  <c:v>44869</c:v>
                </c:pt>
                <c:pt idx="10">
                  <c:v>44876</c:v>
                </c:pt>
                <c:pt idx="11">
                  <c:v>44883</c:v>
                </c:pt>
                <c:pt idx="12">
                  <c:v>44890</c:v>
                </c:pt>
                <c:pt idx="13">
                  <c:v>44897</c:v>
                </c:pt>
                <c:pt idx="14">
                  <c:v>45269</c:v>
                </c:pt>
                <c:pt idx="15">
                  <c:v>45276</c:v>
                </c:pt>
                <c:pt idx="16">
                  <c:v>45283</c:v>
                </c:pt>
                <c:pt idx="17">
                  <c:v>45290</c:v>
                </c:pt>
                <c:pt idx="18">
                  <c:v>44932</c:v>
                </c:pt>
                <c:pt idx="19">
                  <c:v>44939</c:v>
                </c:pt>
                <c:pt idx="20">
                  <c:v>44946</c:v>
                </c:pt>
                <c:pt idx="21">
                  <c:v>44953</c:v>
                </c:pt>
                <c:pt idx="22">
                  <c:v>44960</c:v>
                </c:pt>
                <c:pt idx="23">
                  <c:v>44967</c:v>
                </c:pt>
                <c:pt idx="24">
                  <c:v>44974</c:v>
                </c:pt>
                <c:pt idx="25">
                  <c:v>44981</c:v>
                </c:pt>
                <c:pt idx="26">
                  <c:v>44988</c:v>
                </c:pt>
                <c:pt idx="27">
                  <c:v>44995</c:v>
                </c:pt>
              </c:numCache>
            </c:numRef>
          </c:cat>
          <c:val>
            <c:numRef>
              <c:f>チャート!$C$660:$C$687</c:f>
              <c:numCache>
                <c:formatCode>General</c:formatCode>
                <c:ptCount val="28"/>
                <c:pt idx="2">
                  <c:v>683.5</c:v>
                </c:pt>
                <c:pt idx="3">
                  <c:v>682.25</c:v>
                </c:pt>
                <c:pt idx="4">
                  <c:v>684.5</c:v>
                </c:pt>
                <c:pt idx="5">
                  <c:v>692.5</c:v>
                </c:pt>
                <c:pt idx="6">
                  <c:v>697.25</c:v>
                </c:pt>
                <c:pt idx="7">
                  <c:v>689.75</c:v>
                </c:pt>
                <c:pt idx="8">
                  <c:v>686.25</c:v>
                </c:pt>
                <c:pt idx="9">
                  <c:v>686.75</c:v>
                </c:pt>
                <c:pt idx="10">
                  <c:v>662.75</c:v>
                </c:pt>
                <c:pt idx="11">
                  <c:v>668</c:v>
                </c:pt>
                <c:pt idx="12">
                  <c:v>670</c:v>
                </c:pt>
                <c:pt idx="13">
                  <c:v>647.25</c:v>
                </c:pt>
                <c:pt idx="14">
                  <c:v>645.25</c:v>
                </c:pt>
                <c:pt idx="15">
                  <c:v>653.5</c:v>
                </c:pt>
                <c:pt idx="16">
                  <c:v>665</c:v>
                </c:pt>
                <c:pt idx="17">
                  <c:v>678</c:v>
                </c:pt>
                <c:pt idx="18">
                  <c:v>654</c:v>
                </c:pt>
                <c:pt idx="19">
                  <c:v>673.75</c:v>
                </c:pt>
                <c:pt idx="20">
                  <c:v>674.5</c:v>
                </c:pt>
                <c:pt idx="21">
                  <c:v>680</c:v>
                </c:pt>
                <c:pt idx="22">
                  <c:v>675.5</c:v>
                </c:pt>
                <c:pt idx="23">
                  <c:v>678.25</c:v>
                </c:pt>
                <c:pt idx="24">
                  <c:v>677.5</c:v>
                </c:pt>
                <c:pt idx="25">
                  <c:v>649.25</c:v>
                </c:pt>
                <c:pt idx="26">
                  <c:v>639.75</c:v>
                </c:pt>
                <c:pt idx="27">
                  <c:v>617.25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954A-4217-A3EA-846FADF2097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69379424"/>
        <c:axId val="1"/>
      </c:lineChart>
      <c:catAx>
        <c:axId val="369379424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>
            <a:solidFill>
              <a:schemeClr val="tx1"/>
            </a:solidFill>
          </a:ln>
        </c:spPr>
        <c:txPr>
          <a:bodyPr rot="-2700000" vert="horz"/>
          <a:lstStyle/>
          <a:p>
            <a:pPr>
              <a:defRPr sz="1200">
                <a:solidFill>
                  <a:sysClr val="windowText" lastClr="000000"/>
                </a:solidFill>
              </a:defRPr>
            </a:pPr>
            <a:endParaRPr lang="ja-JP"/>
          </a:p>
        </c:txPr>
        <c:crossAx val="1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1"/>
        <c:scaling>
          <c:orientation val="minMax"/>
          <c:max val="720"/>
          <c:min val="600"/>
        </c:scaling>
        <c:delete val="0"/>
        <c:axPos val="l"/>
        <c:majorGridlines>
          <c:spPr>
            <a:ln>
              <a:solidFill>
                <a:schemeClr val="tx1"/>
              </a:solidFill>
              <a:prstDash val="sysDash"/>
            </a:ln>
          </c:spPr>
        </c:majorGridlines>
        <c:numFmt formatCode="General" sourceLinked="1"/>
        <c:majorTickMark val="none"/>
        <c:minorTickMark val="none"/>
        <c:tickLblPos val="nextTo"/>
        <c:spPr>
          <a:ln>
            <a:solidFill>
              <a:schemeClr val="tx1"/>
            </a:solidFill>
            <a:bevel/>
          </a:ln>
        </c:spPr>
        <c:txPr>
          <a:bodyPr/>
          <a:lstStyle/>
          <a:p>
            <a:pPr>
              <a:defRPr sz="1200"/>
            </a:pPr>
            <a:endParaRPr lang="ja-JP"/>
          </a:p>
        </c:txPr>
        <c:crossAx val="369379424"/>
        <c:crosses val="autoZero"/>
        <c:crossBetween val="midCat"/>
        <c:majorUnit val="20"/>
        <c:minorUnit val="20"/>
      </c:valAx>
      <c:spPr>
        <a:ln w="6350">
          <a:solidFill>
            <a:schemeClr val="tx1"/>
          </a:solidFill>
        </a:ln>
      </c:spPr>
    </c:plotArea>
    <c:legend>
      <c:legendPos val="r"/>
      <c:layout>
        <c:manualLayout>
          <c:xMode val="edge"/>
          <c:yMode val="edge"/>
          <c:x val="0.68811957424809089"/>
          <c:y val="0.54524159696863594"/>
          <c:w val="0.12376251335397317"/>
          <c:h val="0.16216237151222362"/>
        </c:manualLayout>
      </c:layout>
      <c:overlay val="0"/>
      <c:spPr>
        <a:solidFill>
          <a:schemeClr val="bg1"/>
        </a:solidFill>
        <a:ln>
          <a:solidFill>
            <a:schemeClr val="tx1"/>
          </a:solidFill>
        </a:ln>
      </c:spPr>
      <c:txPr>
        <a:bodyPr/>
        <a:lstStyle/>
        <a:p>
          <a:pPr>
            <a:defRPr sz="1000"/>
          </a:pPr>
          <a:endParaRPr lang="ja-JP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ＭＳ Ｐ明朝" pitchFamily="18" charset="-128"/>
          <a:ea typeface="ＭＳ Ｐ明朝" pitchFamily="18" charset="-128"/>
        </a:defRPr>
      </a:pPr>
      <a:endParaRPr lang="ja-JP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800"/>
              <a:t>大豆粕シカゴ定期の推移</a:t>
            </a:r>
          </a:p>
        </c:rich>
      </c:tx>
      <c:layout>
        <c:manualLayout>
          <c:xMode val="edge"/>
          <c:yMode val="edge"/>
          <c:x val="0.32648034655901148"/>
          <c:y val="2.2268269097941709E-3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8.18337617823479E-2"/>
          <c:y val="0.10403419386818132"/>
          <c:w val="0.89760122529670938"/>
          <c:h val="0.67529866816183592"/>
        </c:manualLayout>
      </c:layout>
      <c:lineChart>
        <c:grouping val="standard"/>
        <c:varyColors val="0"/>
        <c:ser>
          <c:idx val="1"/>
          <c:order val="0"/>
          <c:spPr>
            <a:ln w="12700">
              <a:solidFill>
                <a:schemeClr val="tx1"/>
              </a:solidFill>
              <a:prstDash val="solid"/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  <a:prstDash val="solid"/>
              </a:ln>
            </c:spPr>
          </c:marker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3981-48BD-BD85-49A3003E23D1}"/>
              </c:ext>
            </c:extLst>
          </c:dPt>
          <c:cat>
            <c:numRef>
              <c:f>チャート!$AP$660:$AP$687</c:f>
              <c:numCache>
                <c:formatCode>m"月"d"日"</c:formatCode>
                <c:ptCount val="28"/>
                <c:pt idx="0">
                  <c:v>44806</c:v>
                </c:pt>
                <c:pt idx="1">
                  <c:v>44813</c:v>
                </c:pt>
                <c:pt idx="2">
                  <c:v>44820</c:v>
                </c:pt>
                <c:pt idx="3">
                  <c:v>44827</c:v>
                </c:pt>
                <c:pt idx="4">
                  <c:v>44834</c:v>
                </c:pt>
                <c:pt idx="5">
                  <c:v>44841</c:v>
                </c:pt>
                <c:pt idx="6">
                  <c:v>44848</c:v>
                </c:pt>
                <c:pt idx="7">
                  <c:v>44855</c:v>
                </c:pt>
                <c:pt idx="8">
                  <c:v>44862</c:v>
                </c:pt>
                <c:pt idx="9">
                  <c:v>44869</c:v>
                </c:pt>
                <c:pt idx="10">
                  <c:v>44876</c:v>
                </c:pt>
                <c:pt idx="11">
                  <c:v>44883</c:v>
                </c:pt>
                <c:pt idx="12">
                  <c:v>44890</c:v>
                </c:pt>
                <c:pt idx="13">
                  <c:v>44897</c:v>
                </c:pt>
                <c:pt idx="14">
                  <c:v>45269</c:v>
                </c:pt>
                <c:pt idx="15">
                  <c:v>45276</c:v>
                </c:pt>
                <c:pt idx="16">
                  <c:v>45283</c:v>
                </c:pt>
                <c:pt idx="17">
                  <c:v>45290</c:v>
                </c:pt>
                <c:pt idx="18">
                  <c:v>44932</c:v>
                </c:pt>
                <c:pt idx="19">
                  <c:v>44939</c:v>
                </c:pt>
                <c:pt idx="20">
                  <c:v>44946</c:v>
                </c:pt>
                <c:pt idx="21">
                  <c:v>44953</c:v>
                </c:pt>
                <c:pt idx="22">
                  <c:v>44960</c:v>
                </c:pt>
                <c:pt idx="23">
                  <c:v>44967</c:v>
                </c:pt>
                <c:pt idx="24">
                  <c:v>44974</c:v>
                </c:pt>
                <c:pt idx="25">
                  <c:v>44981</c:v>
                </c:pt>
                <c:pt idx="26">
                  <c:v>44988</c:v>
                </c:pt>
                <c:pt idx="27">
                  <c:v>44995</c:v>
                </c:pt>
              </c:numCache>
            </c:numRef>
          </c:cat>
          <c:val>
            <c:numRef>
              <c:f>チャート!$AQ$660:$AQ$687</c:f>
              <c:numCache>
                <c:formatCode>#,##0.00_);[Red]\(#,##0.00\)</c:formatCode>
                <c:ptCount val="28"/>
                <c:pt idx="0">
                  <c:v>467.37520000000001</c:v>
                </c:pt>
                <c:pt idx="1">
                  <c:v>457.23404000000005</c:v>
                </c:pt>
                <c:pt idx="2">
                  <c:v>473.54808000000003</c:v>
                </c:pt>
                <c:pt idx="3">
                  <c:v>484.90177</c:v>
                </c:pt>
                <c:pt idx="4">
                  <c:v>444.44736</c:v>
                </c:pt>
                <c:pt idx="5">
                  <c:v>441.69161000000003</c:v>
                </c:pt>
                <c:pt idx="6">
                  <c:v>453.15553000000006</c:v>
                </c:pt>
                <c:pt idx="7">
                  <c:v>460.65116999999998</c:v>
                </c:pt>
                <c:pt idx="8">
                  <c:v>468.91842000000003</c:v>
                </c:pt>
                <c:pt idx="9">
                  <c:v>463.40692000000001</c:v>
                </c:pt>
                <c:pt idx="10">
                  <c:v>449.07702</c:v>
                </c:pt>
                <c:pt idx="11">
                  <c:v>452.38391999999999</c:v>
                </c:pt>
                <c:pt idx="12">
                  <c:v>450.62024000000002</c:v>
                </c:pt>
                <c:pt idx="13">
                  <c:v>467.48543000000006</c:v>
                </c:pt>
                <c:pt idx="14">
                  <c:v>519.84468000000004</c:v>
                </c:pt>
                <c:pt idx="15">
                  <c:v>510.36490000000003</c:v>
                </c:pt>
                <c:pt idx="16">
                  <c:v>501.87719000000004</c:v>
                </c:pt>
                <c:pt idx="17">
                  <c:v>527.45055000000002</c:v>
                </c:pt>
                <c:pt idx="18">
                  <c:v>526.45848000000001</c:v>
                </c:pt>
                <c:pt idx="19">
                  <c:v>525.02548999999999</c:v>
                </c:pt>
                <c:pt idx="20">
                  <c:v>511.13650999999999</c:v>
                </c:pt>
                <c:pt idx="21">
                  <c:v>521.93905000000007</c:v>
                </c:pt>
                <c:pt idx="22">
                  <c:v>547.29195000000004</c:v>
                </c:pt>
                <c:pt idx="23">
                  <c:v>550.48861999999997</c:v>
                </c:pt>
                <c:pt idx="24">
                  <c:v>541.33953000000008</c:v>
                </c:pt>
                <c:pt idx="25">
                  <c:v>547.95333000000005</c:v>
                </c:pt>
                <c:pt idx="26">
                  <c:v>530.53699000000006</c:v>
                </c:pt>
                <c:pt idx="27">
                  <c:v>535.60757000000001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3981-48BD-BD85-49A3003E23D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76312600"/>
        <c:axId val="1"/>
      </c:lineChart>
      <c:catAx>
        <c:axId val="476312600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6350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1"/>
        <c:scaling>
          <c:orientation val="minMax"/>
          <c:max val="580"/>
          <c:min val="420"/>
        </c:scaling>
        <c:delete val="0"/>
        <c:axPos val="l"/>
        <c:majorGridlines>
          <c:spPr>
            <a:ln w="6350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Yu Gothic"/>
                    <a:ea typeface="Yu Gothic"/>
                    <a:cs typeface="Yu Gothic"/>
                  </a:defRPr>
                </a:pPr>
                <a:r>
                  <a:rPr lang="ja-JP" altLang="en-US" sz="1025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ドル/トン</a:t>
                </a:r>
              </a:p>
            </c:rich>
          </c:tx>
          <c:layout>
            <c:manualLayout>
              <c:xMode val="edge"/>
              <c:yMode val="edge"/>
              <c:x val="4.2416462648051344E-2"/>
              <c:y val="8.6655811083104703E-3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476312600"/>
        <c:crosses val="autoZero"/>
        <c:crossBetween val="midCat"/>
        <c:majorUnit val="20"/>
        <c:minorUnit val="20"/>
      </c:valAx>
      <c:spPr>
        <a:solidFill>
          <a:srgbClr val="FFFFFF"/>
        </a:solidFill>
        <a:ln w="6350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800"/>
              <a:t>ドル円為替相場（東京市場対顧客電信相場仲値）</a:t>
            </a:r>
          </a:p>
        </c:rich>
      </c:tx>
      <c:layout>
        <c:manualLayout>
          <c:xMode val="edge"/>
          <c:yMode val="edge"/>
          <c:x val="0.18394666795066436"/>
          <c:y val="3.9342278476872626E-3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8.9032280055902108E-2"/>
          <c:y val="0.10587996500437445"/>
          <c:w val="0.88645217140383759"/>
          <c:h val="0.70226281714785654"/>
        </c:manualLayout>
      </c:layout>
      <c:lineChart>
        <c:grouping val="standard"/>
        <c:varyColors val="0"/>
        <c:ser>
          <c:idx val="0"/>
          <c:order val="0"/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5F3B-44BD-862F-C0B26AEFD8BC}"/>
              </c:ext>
            </c:extLst>
          </c:dPt>
          <c:cat>
            <c:numRef>
              <c:f>チャート!$AC$661:$AC$688</c:f>
              <c:numCache>
                <c:formatCode>m"月"d"日"</c:formatCode>
                <c:ptCount val="28"/>
                <c:pt idx="0">
                  <c:v>44806</c:v>
                </c:pt>
                <c:pt idx="1">
                  <c:v>44813</c:v>
                </c:pt>
                <c:pt idx="2">
                  <c:v>44820</c:v>
                </c:pt>
                <c:pt idx="3">
                  <c:v>44827</c:v>
                </c:pt>
                <c:pt idx="4">
                  <c:v>44834</c:v>
                </c:pt>
                <c:pt idx="5">
                  <c:v>44841</c:v>
                </c:pt>
                <c:pt idx="6">
                  <c:v>44848</c:v>
                </c:pt>
                <c:pt idx="7">
                  <c:v>44855</c:v>
                </c:pt>
                <c:pt idx="8">
                  <c:v>44862</c:v>
                </c:pt>
                <c:pt idx="9">
                  <c:v>44869</c:v>
                </c:pt>
                <c:pt idx="10">
                  <c:v>44876</c:v>
                </c:pt>
                <c:pt idx="11">
                  <c:v>44883</c:v>
                </c:pt>
                <c:pt idx="12">
                  <c:v>44890</c:v>
                </c:pt>
                <c:pt idx="13">
                  <c:v>44897</c:v>
                </c:pt>
                <c:pt idx="14">
                  <c:v>45269</c:v>
                </c:pt>
                <c:pt idx="15">
                  <c:v>45276</c:v>
                </c:pt>
                <c:pt idx="16">
                  <c:v>45283</c:v>
                </c:pt>
                <c:pt idx="17">
                  <c:v>45290</c:v>
                </c:pt>
                <c:pt idx="18">
                  <c:v>44932</c:v>
                </c:pt>
                <c:pt idx="19">
                  <c:v>44939</c:v>
                </c:pt>
                <c:pt idx="20">
                  <c:v>44946</c:v>
                </c:pt>
                <c:pt idx="21">
                  <c:v>44953</c:v>
                </c:pt>
                <c:pt idx="22">
                  <c:v>44960</c:v>
                </c:pt>
                <c:pt idx="23">
                  <c:v>44967</c:v>
                </c:pt>
                <c:pt idx="24">
                  <c:v>44974</c:v>
                </c:pt>
                <c:pt idx="25">
                  <c:v>44981</c:v>
                </c:pt>
                <c:pt idx="26">
                  <c:v>44988</c:v>
                </c:pt>
                <c:pt idx="27">
                  <c:v>44995</c:v>
                </c:pt>
              </c:numCache>
            </c:numRef>
          </c:cat>
          <c:val>
            <c:numRef>
              <c:f>チャート!$AD$661:$AD$688</c:f>
              <c:numCache>
                <c:formatCode>General</c:formatCode>
                <c:ptCount val="28"/>
                <c:pt idx="0">
                  <c:v>140.09</c:v>
                </c:pt>
                <c:pt idx="1">
                  <c:v>143.81</c:v>
                </c:pt>
                <c:pt idx="2">
                  <c:v>143.11000000000001</c:v>
                </c:pt>
                <c:pt idx="3">
                  <c:v>144.51</c:v>
                </c:pt>
                <c:pt idx="4">
                  <c:v>144.34</c:v>
                </c:pt>
                <c:pt idx="5">
                  <c:v>144.91999999999999</c:v>
                </c:pt>
                <c:pt idx="6">
                  <c:v>147.41999999999999</c:v>
                </c:pt>
                <c:pt idx="7">
                  <c:v>150.26</c:v>
                </c:pt>
                <c:pt idx="8">
                  <c:v>146.66999999999999</c:v>
                </c:pt>
                <c:pt idx="9">
                  <c:v>148.34</c:v>
                </c:pt>
                <c:pt idx="10">
                  <c:v>141.87</c:v>
                </c:pt>
                <c:pt idx="11">
                  <c:v>140.29</c:v>
                </c:pt>
                <c:pt idx="12">
                  <c:v>139.11000000000001</c:v>
                </c:pt>
                <c:pt idx="13">
                  <c:v>135.6</c:v>
                </c:pt>
                <c:pt idx="14">
                  <c:v>136.94999999999999</c:v>
                </c:pt>
                <c:pt idx="15">
                  <c:v>137.72999999999999</c:v>
                </c:pt>
                <c:pt idx="16">
                  <c:v>132.77000000000001</c:v>
                </c:pt>
                <c:pt idx="17">
                  <c:v>132.69999999999999</c:v>
                </c:pt>
                <c:pt idx="18">
                  <c:v>133.74</c:v>
                </c:pt>
                <c:pt idx="19">
                  <c:v>129.28</c:v>
                </c:pt>
                <c:pt idx="20">
                  <c:v>128.71</c:v>
                </c:pt>
                <c:pt idx="21">
                  <c:v>129.59</c:v>
                </c:pt>
                <c:pt idx="22">
                  <c:v>128.75</c:v>
                </c:pt>
                <c:pt idx="23">
                  <c:v>131.71</c:v>
                </c:pt>
                <c:pt idx="24">
                  <c:v>134.4</c:v>
                </c:pt>
                <c:pt idx="25">
                  <c:v>134.19</c:v>
                </c:pt>
                <c:pt idx="26">
                  <c:v>136.69999999999999</c:v>
                </c:pt>
                <c:pt idx="27">
                  <c:v>136.01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5F3B-44BD-862F-C0B26AEFD8B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76313584"/>
        <c:axId val="1"/>
      </c:lineChart>
      <c:catAx>
        <c:axId val="476313584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6350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1"/>
        <c:scaling>
          <c:orientation val="minMax"/>
          <c:max val="154"/>
          <c:min val="126"/>
        </c:scaling>
        <c:delete val="0"/>
        <c:axPos val="l"/>
        <c:majorGridlines>
          <c:spPr>
            <a:ln w="6350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Yu Gothic"/>
                    <a:ea typeface="Yu Gothic"/>
                    <a:cs typeface="Yu Gothic"/>
                  </a:defRPr>
                </a:pPr>
                <a:r>
                  <a:rPr lang="ja-JP" altLang="en-US" sz="105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円/ドル</a:t>
                </a:r>
              </a:p>
            </c:rich>
          </c:tx>
          <c:layout>
            <c:manualLayout>
              <c:xMode val="edge"/>
              <c:yMode val="edge"/>
              <c:x val="4.6451609749898579E-2"/>
              <c:y val="8.6655147488007307E-3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635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476313584"/>
        <c:crosses val="autoZero"/>
        <c:crossBetween val="midCat"/>
        <c:majorUnit val="4"/>
      </c:valAx>
      <c:spPr>
        <a:solidFill>
          <a:srgbClr val="FFFFFF"/>
        </a:solidFill>
        <a:ln w="6350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0.36805</cdr:x>
      <cdr:y>0</cdr:y>
    </cdr:from>
    <cdr:to>
      <cdr:x>0.65696</cdr:x>
      <cdr:y>0.07808</cdr:y>
    </cdr:to>
    <cdr:sp macro="" textlink="">
      <cdr:nvSpPr>
        <cdr:cNvPr id="2" name="テキスト ボックス 1"/>
        <cdr:cNvSpPr txBox="1"/>
      </cdr:nvSpPr>
      <cdr:spPr>
        <a:xfrm xmlns:a="http://schemas.openxmlformats.org/drawingml/2006/main">
          <a:off x="2446049" y="0"/>
          <a:ext cx="1920069" cy="2476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 anchor="ctr"/>
        <a:lstStyle xmlns:a="http://schemas.openxmlformats.org/drawingml/2006/main"/>
        <a:p xmlns:a="http://schemas.openxmlformats.org/drawingml/2006/main">
          <a:pPr algn="ctr"/>
          <a:r>
            <a:rPr lang="ja-JP" altLang="en-US" sz="1800">
              <a:latin typeface="ＭＳ Ｐ明朝" pitchFamily="18" charset="-128"/>
              <a:ea typeface="ＭＳ Ｐ明朝" pitchFamily="18" charset="-128"/>
            </a:rPr>
            <a:t>とうもろこしシカゴ定期の推移</a:t>
          </a:r>
        </a:p>
      </cdr:txBody>
    </cdr:sp>
  </cdr:relSizeAnchor>
  <cdr:relSizeAnchor xmlns:cdr="http://schemas.openxmlformats.org/drawingml/2006/chartDrawing">
    <cdr:from>
      <cdr:x>0.02307</cdr:x>
      <cdr:y>0</cdr:y>
    </cdr:from>
    <cdr:to>
      <cdr:x>0.17518</cdr:x>
      <cdr:y>0.07407</cdr:y>
    </cdr:to>
    <cdr:sp macro="" textlink="">
      <cdr:nvSpPr>
        <cdr:cNvPr id="3" name="テキスト ボックス 2"/>
        <cdr:cNvSpPr txBox="1"/>
      </cdr:nvSpPr>
      <cdr:spPr>
        <a:xfrm xmlns:a="http://schemas.openxmlformats.org/drawingml/2006/main">
          <a:off x="153316" y="0"/>
          <a:ext cx="1010910" cy="2286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セント</a:t>
          </a:r>
          <a:r>
            <a:rPr lang="en-US" altLang="ja-JP" sz="1050">
              <a:latin typeface="ＭＳ Ｐ明朝" pitchFamily="18" charset="-128"/>
              <a:ea typeface="ＭＳ Ｐ明朝" pitchFamily="18" charset="-128"/>
            </a:rPr>
            <a:t>/</a:t>
          </a:r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ブッシェル</a:t>
          </a:r>
        </a:p>
      </cdr:txBody>
    </cdr:sp>
  </cdr:relSizeAnchor>
</c:userShape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太田　夕貴</dc:creator>
  <cp:keywords/>
  <dc:description/>
  <cp:lastModifiedBy>太田　夕貴</cp:lastModifiedBy>
  <cp:revision>2</cp:revision>
  <cp:lastPrinted>2023-03-15T09:34:00Z</cp:lastPrinted>
  <dcterms:created xsi:type="dcterms:W3CDTF">2023-03-15T09:19:00Z</dcterms:created>
  <dcterms:modified xsi:type="dcterms:W3CDTF">2023-03-15T09:35:00Z</dcterms:modified>
</cp:coreProperties>
</file>