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drawings/drawing1.xml" ContentType="application/vnd.openxmlformats-officedocument.drawingml.chartshapes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3A84" w:rsidRDefault="00DC1300" w:rsidP="00187370">
      <w:pPr>
        <w:jc w:val="center"/>
      </w:pPr>
      <w:r>
        <w:rPr>
          <w:noProof/>
        </w:rPr>
        <w:drawing>
          <wp:inline distT="0" distB="0" distL="0" distR="0" wp14:anchorId="4CC52ACF" wp14:editId="0968C181">
            <wp:extent cx="5502165" cy="3121572"/>
            <wp:effectExtent l="0" t="0" r="3810" b="3175"/>
            <wp:docPr id="1" name="グラフ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DC1300" w:rsidRDefault="00DC1300" w:rsidP="00187370">
      <w:pPr>
        <w:jc w:val="center"/>
      </w:pPr>
      <w:r>
        <w:rPr>
          <w:noProof/>
        </w:rPr>
        <w:drawing>
          <wp:inline distT="0" distB="0" distL="0" distR="0" wp14:anchorId="4A124277" wp14:editId="453670D0">
            <wp:extent cx="5486400" cy="3137338"/>
            <wp:effectExtent l="0" t="0" r="0" b="6350"/>
            <wp:docPr id="3" name="グラフ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  <w:bookmarkStart w:id="0" w:name="_GoBack"/>
      <w:r>
        <w:rPr>
          <w:noProof/>
        </w:rPr>
        <w:drawing>
          <wp:inline distT="0" distB="0" distL="0" distR="0" wp14:anchorId="3AB74046" wp14:editId="289D9F00">
            <wp:extent cx="5423338" cy="3279227"/>
            <wp:effectExtent l="0" t="0" r="6350" b="0"/>
            <wp:docPr id="4" name="グラフ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  <w:bookmarkEnd w:id="0"/>
    </w:p>
    <w:sectPr w:rsidR="00DC1300" w:rsidSect="0018737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300"/>
    <w:rsid w:val="00023AAE"/>
    <w:rsid w:val="00034847"/>
    <w:rsid w:val="00055A44"/>
    <w:rsid w:val="0008682C"/>
    <w:rsid w:val="0009136F"/>
    <w:rsid w:val="000B5F9D"/>
    <w:rsid w:val="00135719"/>
    <w:rsid w:val="001525E7"/>
    <w:rsid w:val="00173E15"/>
    <w:rsid w:val="00187370"/>
    <w:rsid w:val="001F1FF4"/>
    <w:rsid w:val="0024238F"/>
    <w:rsid w:val="00274A14"/>
    <w:rsid w:val="002B112E"/>
    <w:rsid w:val="002C41FF"/>
    <w:rsid w:val="002E7805"/>
    <w:rsid w:val="00300CF2"/>
    <w:rsid w:val="00330809"/>
    <w:rsid w:val="00336A2B"/>
    <w:rsid w:val="0036671C"/>
    <w:rsid w:val="003B3BD8"/>
    <w:rsid w:val="003F39D3"/>
    <w:rsid w:val="00417328"/>
    <w:rsid w:val="00423A84"/>
    <w:rsid w:val="004710FC"/>
    <w:rsid w:val="004831CC"/>
    <w:rsid w:val="004D0694"/>
    <w:rsid w:val="005458E9"/>
    <w:rsid w:val="005555E6"/>
    <w:rsid w:val="005C3200"/>
    <w:rsid w:val="005D0F5A"/>
    <w:rsid w:val="00604219"/>
    <w:rsid w:val="00610469"/>
    <w:rsid w:val="00616B4B"/>
    <w:rsid w:val="00650835"/>
    <w:rsid w:val="00725238"/>
    <w:rsid w:val="008117E8"/>
    <w:rsid w:val="00886DE2"/>
    <w:rsid w:val="008931C9"/>
    <w:rsid w:val="009067E9"/>
    <w:rsid w:val="00910CA3"/>
    <w:rsid w:val="009215A2"/>
    <w:rsid w:val="009370C0"/>
    <w:rsid w:val="009567A6"/>
    <w:rsid w:val="0098425D"/>
    <w:rsid w:val="00996B84"/>
    <w:rsid w:val="00A45E2B"/>
    <w:rsid w:val="00A500EF"/>
    <w:rsid w:val="00A77261"/>
    <w:rsid w:val="00AF3D09"/>
    <w:rsid w:val="00AF74EB"/>
    <w:rsid w:val="00B374C3"/>
    <w:rsid w:val="00B4017A"/>
    <w:rsid w:val="00B441AF"/>
    <w:rsid w:val="00B60E7C"/>
    <w:rsid w:val="00B97989"/>
    <w:rsid w:val="00BD3716"/>
    <w:rsid w:val="00BE3AA3"/>
    <w:rsid w:val="00BF0D3E"/>
    <w:rsid w:val="00C57CD2"/>
    <w:rsid w:val="00C7068F"/>
    <w:rsid w:val="00C73EFE"/>
    <w:rsid w:val="00C8117A"/>
    <w:rsid w:val="00C8738A"/>
    <w:rsid w:val="00CF28A1"/>
    <w:rsid w:val="00D04347"/>
    <w:rsid w:val="00D33BCE"/>
    <w:rsid w:val="00D73875"/>
    <w:rsid w:val="00D76323"/>
    <w:rsid w:val="00D964F9"/>
    <w:rsid w:val="00DC1300"/>
    <w:rsid w:val="00DC341B"/>
    <w:rsid w:val="00DD76B2"/>
    <w:rsid w:val="00E25E0E"/>
    <w:rsid w:val="00E5095B"/>
    <w:rsid w:val="00EA64AF"/>
    <w:rsid w:val="00EE5238"/>
    <w:rsid w:val="00F01DF7"/>
    <w:rsid w:val="00F777F4"/>
    <w:rsid w:val="00FC3ACC"/>
    <w:rsid w:val="00FD4CF0"/>
    <w:rsid w:val="00FD4E33"/>
    <w:rsid w:val="00FD5CBC"/>
    <w:rsid w:val="00FF01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13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DC130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C130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DC130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chart" Target="charts/chart2.xml"/><Relationship Id="rId5" Type="http://schemas.openxmlformats.org/officeDocument/2006/relationships/chart" Target="charts/chart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chartUserShapes" Target="../drawings/drawing1.xml"/><Relationship Id="rId2" Type="http://schemas.openxmlformats.org/officeDocument/2006/relationships/oleObject" Target="file:///C:\Users\M4162B\Desktop\&#12467;&#12500;&#12540;H26.10-12&#12481;&#12515;&#12540;&#12488;&#21407;&#26412;%20-SA.xls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M4162B\Desktop\&#12467;&#12500;&#12540;H26.10-12&#12481;&#12515;&#12540;&#12488;&#21407;&#26412;%20-SA.xls" TargetMode="External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M4162B\Desktop\&#12467;&#12500;&#12540;H26.10-12&#12481;&#12515;&#12540;&#12488;&#21407;&#26412;%20-SA.xls" TargetMode="External"/><Relationship Id="rId1" Type="http://schemas.openxmlformats.org/officeDocument/2006/relationships/themeOverride" Target="../theme/themeOverride3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8.1744024118339864E-2"/>
          <c:y val="0.15478934161236435"/>
          <c:w val="0.87363931482248924"/>
          <c:h val="0.6194128531492058"/>
        </c:manualLayout>
      </c:layout>
      <c:lineChart>
        <c:grouping val="standard"/>
        <c:varyColors val="0"/>
        <c:ser>
          <c:idx val="0"/>
          <c:order val="0"/>
          <c:tx>
            <c:strRef>
              <c:f>チャート!$E$35</c:f>
              <c:strCache>
                <c:ptCount val="1"/>
                <c:pt idx="0">
                  <c:v>９月限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square"/>
            <c:size val="4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チャート!$A$220:$A$246</c:f>
              <c:numCache>
                <c:formatCode>m"月"d"日"</c:formatCode>
                <c:ptCount val="27"/>
                <c:pt idx="0">
                  <c:v>41719</c:v>
                </c:pt>
                <c:pt idx="1">
                  <c:v>41726</c:v>
                </c:pt>
                <c:pt idx="2">
                  <c:v>41733</c:v>
                </c:pt>
                <c:pt idx="3">
                  <c:v>41740</c:v>
                </c:pt>
                <c:pt idx="4">
                  <c:v>41746</c:v>
                </c:pt>
                <c:pt idx="5">
                  <c:v>41754</c:v>
                </c:pt>
                <c:pt idx="6">
                  <c:v>41761</c:v>
                </c:pt>
                <c:pt idx="7">
                  <c:v>41768</c:v>
                </c:pt>
                <c:pt idx="8">
                  <c:v>41775</c:v>
                </c:pt>
                <c:pt idx="9">
                  <c:v>41782</c:v>
                </c:pt>
                <c:pt idx="10">
                  <c:v>41789</c:v>
                </c:pt>
                <c:pt idx="11">
                  <c:v>41796</c:v>
                </c:pt>
                <c:pt idx="12">
                  <c:v>41803</c:v>
                </c:pt>
                <c:pt idx="13">
                  <c:v>41810</c:v>
                </c:pt>
                <c:pt idx="14">
                  <c:v>41817</c:v>
                </c:pt>
                <c:pt idx="15">
                  <c:v>41823</c:v>
                </c:pt>
                <c:pt idx="16">
                  <c:v>41831</c:v>
                </c:pt>
                <c:pt idx="17">
                  <c:v>41838</c:v>
                </c:pt>
                <c:pt idx="18">
                  <c:v>41845</c:v>
                </c:pt>
                <c:pt idx="19">
                  <c:v>41852</c:v>
                </c:pt>
                <c:pt idx="20">
                  <c:v>41859</c:v>
                </c:pt>
                <c:pt idx="21">
                  <c:v>41866</c:v>
                </c:pt>
                <c:pt idx="22">
                  <c:v>41873</c:v>
                </c:pt>
                <c:pt idx="23">
                  <c:v>41880</c:v>
                </c:pt>
                <c:pt idx="24">
                  <c:v>41887</c:v>
                </c:pt>
                <c:pt idx="25">
                  <c:v>41894</c:v>
                </c:pt>
                <c:pt idx="26">
                  <c:v>41894</c:v>
                </c:pt>
              </c:numCache>
            </c:numRef>
          </c:cat>
          <c:val>
            <c:numRef>
              <c:f>チャート!$E$220:$E$246</c:f>
              <c:numCache>
                <c:formatCode>General</c:formatCode>
                <c:ptCount val="27"/>
                <c:pt idx="0">
                  <c:v>481</c:v>
                </c:pt>
                <c:pt idx="1">
                  <c:v>491.25</c:v>
                </c:pt>
                <c:pt idx="2">
                  <c:v>507</c:v>
                </c:pt>
                <c:pt idx="3">
                  <c:v>502.5</c:v>
                </c:pt>
                <c:pt idx="4">
                  <c:v>498.25</c:v>
                </c:pt>
                <c:pt idx="5">
                  <c:v>509.25</c:v>
                </c:pt>
                <c:pt idx="6">
                  <c:v>496.25</c:v>
                </c:pt>
                <c:pt idx="7">
                  <c:v>501.75</c:v>
                </c:pt>
                <c:pt idx="8">
                  <c:v>481.25</c:v>
                </c:pt>
                <c:pt idx="9">
                  <c:v>475.5</c:v>
                </c:pt>
                <c:pt idx="10">
                  <c:v>458</c:v>
                </c:pt>
                <c:pt idx="11">
                  <c:v>456.25</c:v>
                </c:pt>
                <c:pt idx="12">
                  <c:v>443</c:v>
                </c:pt>
                <c:pt idx="13">
                  <c:v>448.25</c:v>
                </c:pt>
                <c:pt idx="14">
                  <c:v>442.25</c:v>
                </c:pt>
                <c:pt idx="15">
                  <c:v>409.5</c:v>
                </c:pt>
                <c:pt idx="16">
                  <c:v>378.25</c:v>
                </c:pt>
                <c:pt idx="17">
                  <c:v>371.25</c:v>
                </c:pt>
                <c:pt idx="18">
                  <c:v>363</c:v>
                </c:pt>
                <c:pt idx="19">
                  <c:v>352.5</c:v>
                </c:pt>
                <c:pt idx="20">
                  <c:v>351.75</c:v>
                </c:pt>
                <c:pt idx="21">
                  <c:v>365.75</c:v>
                </c:pt>
                <c:pt idx="22">
                  <c:v>365.5</c:v>
                </c:pt>
                <c:pt idx="23">
                  <c:v>359</c:v>
                </c:pt>
                <c:pt idx="24">
                  <c:v>346.5</c:v>
                </c:pt>
                <c:pt idx="25">
                  <c:v>343</c:v>
                </c:pt>
                <c:pt idx="26">
                  <c:v>339</c:v>
                </c:pt>
              </c:numCache>
            </c:numRef>
          </c:val>
          <c:smooth val="0"/>
        </c:ser>
        <c:ser>
          <c:idx val="1"/>
          <c:order val="1"/>
          <c:tx>
            <c:strRef>
              <c:f>チャート!$F$35</c:f>
              <c:strCache>
                <c:ptCount val="1"/>
                <c:pt idx="0">
                  <c:v>１２月限</c:v>
                </c:pt>
              </c:strCache>
            </c:strRef>
          </c:tx>
          <c:spPr>
            <a:ln w="12700">
              <a:solidFill>
                <a:schemeClr val="tx1"/>
              </a:solidFill>
            </a:ln>
          </c:spPr>
          <c:marker>
            <c:symbol val="triangle"/>
            <c:size val="5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チャート!$A$220:$A$246</c:f>
              <c:numCache>
                <c:formatCode>m"月"d"日"</c:formatCode>
                <c:ptCount val="27"/>
                <c:pt idx="0">
                  <c:v>41719</c:v>
                </c:pt>
                <c:pt idx="1">
                  <c:v>41726</c:v>
                </c:pt>
                <c:pt idx="2">
                  <c:v>41733</c:v>
                </c:pt>
                <c:pt idx="3">
                  <c:v>41740</c:v>
                </c:pt>
                <c:pt idx="4">
                  <c:v>41746</c:v>
                </c:pt>
                <c:pt idx="5">
                  <c:v>41754</c:v>
                </c:pt>
                <c:pt idx="6">
                  <c:v>41761</c:v>
                </c:pt>
                <c:pt idx="7">
                  <c:v>41768</c:v>
                </c:pt>
                <c:pt idx="8">
                  <c:v>41775</c:v>
                </c:pt>
                <c:pt idx="9">
                  <c:v>41782</c:v>
                </c:pt>
                <c:pt idx="10">
                  <c:v>41789</c:v>
                </c:pt>
                <c:pt idx="11">
                  <c:v>41796</c:v>
                </c:pt>
                <c:pt idx="12">
                  <c:v>41803</c:v>
                </c:pt>
                <c:pt idx="13">
                  <c:v>41810</c:v>
                </c:pt>
                <c:pt idx="14">
                  <c:v>41817</c:v>
                </c:pt>
                <c:pt idx="15">
                  <c:v>41823</c:v>
                </c:pt>
                <c:pt idx="16">
                  <c:v>41831</c:v>
                </c:pt>
                <c:pt idx="17">
                  <c:v>41838</c:v>
                </c:pt>
                <c:pt idx="18">
                  <c:v>41845</c:v>
                </c:pt>
                <c:pt idx="19">
                  <c:v>41852</c:v>
                </c:pt>
                <c:pt idx="20">
                  <c:v>41859</c:v>
                </c:pt>
                <c:pt idx="21">
                  <c:v>41866</c:v>
                </c:pt>
                <c:pt idx="22">
                  <c:v>41873</c:v>
                </c:pt>
                <c:pt idx="23">
                  <c:v>41880</c:v>
                </c:pt>
                <c:pt idx="24">
                  <c:v>41887</c:v>
                </c:pt>
                <c:pt idx="25">
                  <c:v>41894</c:v>
                </c:pt>
                <c:pt idx="26">
                  <c:v>41894</c:v>
                </c:pt>
              </c:numCache>
            </c:numRef>
          </c:cat>
          <c:val>
            <c:numRef>
              <c:f>チャート!$F$220:$F$246</c:f>
              <c:numCache>
                <c:formatCode>General</c:formatCode>
                <c:ptCount val="27"/>
                <c:pt idx="0">
                  <c:v>480</c:v>
                </c:pt>
                <c:pt idx="1">
                  <c:v>487.25</c:v>
                </c:pt>
                <c:pt idx="2">
                  <c:v>506.75</c:v>
                </c:pt>
                <c:pt idx="3">
                  <c:v>499.25</c:v>
                </c:pt>
                <c:pt idx="4">
                  <c:v>496.75</c:v>
                </c:pt>
                <c:pt idx="5">
                  <c:v>506.25</c:v>
                </c:pt>
                <c:pt idx="6">
                  <c:v>494</c:v>
                </c:pt>
                <c:pt idx="7">
                  <c:v>498.75</c:v>
                </c:pt>
                <c:pt idx="8">
                  <c:v>481</c:v>
                </c:pt>
                <c:pt idx="9">
                  <c:v>475.25</c:v>
                </c:pt>
                <c:pt idx="10">
                  <c:v>457.5</c:v>
                </c:pt>
                <c:pt idx="11">
                  <c:v>457.75</c:v>
                </c:pt>
                <c:pt idx="12">
                  <c:v>447.5</c:v>
                </c:pt>
                <c:pt idx="13">
                  <c:v>452</c:v>
                </c:pt>
                <c:pt idx="14">
                  <c:v>447.25</c:v>
                </c:pt>
                <c:pt idx="15">
                  <c:v>415.25</c:v>
                </c:pt>
                <c:pt idx="16">
                  <c:v>384.75</c:v>
                </c:pt>
                <c:pt idx="17">
                  <c:v>378.5</c:v>
                </c:pt>
                <c:pt idx="18">
                  <c:v>371.75</c:v>
                </c:pt>
                <c:pt idx="19">
                  <c:v>362.25</c:v>
                </c:pt>
                <c:pt idx="20">
                  <c:v>363.5</c:v>
                </c:pt>
                <c:pt idx="21">
                  <c:v>377</c:v>
                </c:pt>
                <c:pt idx="22">
                  <c:v>371.5</c:v>
                </c:pt>
                <c:pt idx="23">
                  <c:v>364.75</c:v>
                </c:pt>
                <c:pt idx="24">
                  <c:v>356</c:v>
                </c:pt>
                <c:pt idx="25">
                  <c:v>347</c:v>
                </c:pt>
                <c:pt idx="26">
                  <c:v>338.5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99609600"/>
        <c:axId val="101463168"/>
      </c:lineChart>
      <c:catAx>
        <c:axId val="99609600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0">
            <a:solidFill>
              <a:sysClr val="windowText" lastClr="000000"/>
            </a:solidFill>
          </a:ln>
        </c:spPr>
        <c:txPr>
          <a:bodyPr rot="-2700000" vert="horz"/>
          <a:lstStyle/>
          <a:p>
            <a:pPr>
              <a:defRPr sz="1200">
                <a:solidFill>
                  <a:sysClr val="windowText" lastClr="000000"/>
                </a:solidFill>
              </a:defRPr>
            </a:pPr>
            <a:endParaRPr lang="ja-JP"/>
          </a:p>
        </c:txPr>
        <c:crossAx val="101463168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01463168"/>
        <c:scaling>
          <c:orientation val="minMax"/>
          <c:max val="520"/>
          <c:min val="320"/>
        </c:scaling>
        <c:delete val="0"/>
        <c:axPos val="l"/>
        <c:majorGridlines>
          <c:spPr>
            <a:ln w="0">
              <a:solidFill>
                <a:sysClr val="windowText" lastClr="000000"/>
              </a:solidFill>
              <a:prstDash val="sysDash"/>
            </a:ln>
          </c:spPr>
        </c:majorGridlines>
        <c:numFmt formatCode="General" sourceLinked="1"/>
        <c:majorTickMark val="none"/>
        <c:minorTickMark val="none"/>
        <c:tickLblPos val="nextTo"/>
        <c:spPr>
          <a:ln w="0">
            <a:solidFill>
              <a:sysClr val="windowText" lastClr="000000"/>
            </a:solidFill>
          </a:ln>
        </c:spPr>
        <c:txPr>
          <a:bodyPr/>
          <a:lstStyle/>
          <a:p>
            <a:pPr>
              <a:defRPr sz="1200"/>
            </a:pPr>
            <a:endParaRPr lang="ja-JP"/>
          </a:p>
        </c:txPr>
        <c:crossAx val="99609600"/>
        <c:crosses val="autoZero"/>
        <c:crossBetween val="between"/>
        <c:majorUnit val="50"/>
        <c:minorUnit val="20"/>
      </c:valAx>
      <c:spPr>
        <a:ln w="12700">
          <a:solidFill>
            <a:sysClr val="windowText" lastClr="00000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72676747297169575"/>
          <c:y val="0.21555599896991434"/>
          <c:w val="0.18236668227919323"/>
          <c:h val="0.1399963667552146"/>
        </c:manualLayout>
      </c:layout>
      <c:overlay val="0"/>
      <c:spPr>
        <a:solidFill>
          <a:schemeClr val="bg1"/>
        </a:solidFill>
        <a:ln>
          <a:solidFill>
            <a:schemeClr val="tx1"/>
          </a:solidFill>
        </a:ln>
      </c:spPr>
      <c:txPr>
        <a:bodyPr/>
        <a:lstStyle/>
        <a:p>
          <a:pPr>
            <a:defRPr sz="1000"/>
          </a:pPr>
          <a:endParaRPr lang="ja-JP"/>
        </a:p>
      </c:txPr>
    </c:legend>
    <c:plotVisOnly val="1"/>
    <c:dispBlanksAs val="gap"/>
    <c:showDLblsOverMax val="0"/>
  </c:chart>
  <c:spPr>
    <a:ln>
      <a:noFill/>
    </a:ln>
  </c:spPr>
  <c:txPr>
    <a:bodyPr/>
    <a:lstStyle/>
    <a:p>
      <a:pPr>
        <a:defRPr>
          <a:latin typeface="ＭＳ Ｐ明朝" pitchFamily="18" charset="-128"/>
          <a:ea typeface="ＭＳ Ｐ明朝" pitchFamily="18" charset="-128"/>
        </a:defRPr>
      </a:pPr>
      <a:endParaRPr lang="ja-JP"/>
    </a:p>
  </c:txPr>
  <c:externalData r:id="rId2">
    <c:autoUpdate val="0"/>
  </c:externalData>
  <c:userShapes r:id="rId3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 sz="1425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800"/>
              <a:t>大豆粕シカゴ定期の推移</a:t>
            </a:r>
          </a:p>
        </c:rich>
      </c:tx>
      <c:layout>
        <c:manualLayout>
          <c:xMode val="edge"/>
          <c:yMode val="edge"/>
          <c:x val="0.34176806597400178"/>
          <c:y val="6.3547082611207393E-3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1903171087621578E-2"/>
          <c:y val="0.11690784173852192"/>
          <c:w val="0.88759514435695541"/>
          <c:h val="0.6842679078070707"/>
        </c:manualLayout>
      </c:layout>
      <c:lineChart>
        <c:grouping val="standard"/>
        <c:varyColors val="0"/>
        <c:ser>
          <c:idx val="1"/>
          <c:order val="0"/>
          <c:spPr>
            <a:ln w="12700">
              <a:solidFill>
                <a:schemeClr val="tx1"/>
              </a:solidFill>
              <a:prstDash val="solid"/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  <a:prstDash val="solid"/>
              </a:ln>
            </c:spPr>
          </c:marker>
          <c:cat>
            <c:numRef>
              <c:f>チャート!$AD$220:$AD$246</c:f>
              <c:numCache>
                <c:formatCode>m"月"d"日"</c:formatCode>
                <c:ptCount val="27"/>
                <c:pt idx="0">
                  <c:v>41719</c:v>
                </c:pt>
                <c:pt idx="1">
                  <c:v>41726</c:v>
                </c:pt>
                <c:pt idx="2">
                  <c:v>41733</c:v>
                </c:pt>
                <c:pt idx="3">
                  <c:v>41740</c:v>
                </c:pt>
                <c:pt idx="4">
                  <c:v>41746</c:v>
                </c:pt>
                <c:pt idx="5">
                  <c:v>41754</c:v>
                </c:pt>
                <c:pt idx="6">
                  <c:v>41761</c:v>
                </c:pt>
                <c:pt idx="7">
                  <c:v>41768</c:v>
                </c:pt>
                <c:pt idx="8">
                  <c:v>41775</c:v>
                </c:pt>
                <c:pt idx="9">
                  <c:v>41782</c:v>
                </c:pt>
                <c:pt idx="10">
                  <c:v>41789</c:v>
                </c:pt>
                <c:pt idx="11">
                  <c:v>41796</c:v>
                </c:pt>
                <c:pt idx="12">
                  <c:v>41803</c:v>
                </c:pt>
                <c:pt idx="13">
                  <c:v>41810</c:v>
                </c:pt>
                <c:pt idx="14">
                  <c:v>41817</c:v>
                </c:pt>
                <c:pt idx="15">
                  <c:v>41823</c:v>
                </c:pt>
                <c:pt idx="16">
                  <c:v>41831</c:v>
                </c:pt>
                <c:pt idx="17">
                  <c:v>41838</c:v>
                </c:pt>
                <c:pt idx="18">
                  <c:v>41845</c:v>
                </c:pt>
                <c:pt idx="19">
                  <c:v>41852</c:v>
                </c:pt>
                <c:pt idx="20">
                  <c:v>41859</c:v>
                </c:pt>
                <c:pt idx="21">
                  <c:v>41866</c:v>
                </c:pt>
                <c:pt idx="22">
                  <c:v>41873</c:v>
                </c:pt>
                <c:pt idx="23">
                  <c:v>41880</c:v>
                </c:pt>
                <c:pt idx="24">
                  <c:v>41887</c:v>
                </c:pt>
                <c:pt idx="25">
                  <c:v>41894</c:v>
                </c:pt>
                <c:pt idx="26">
                  <c:v>41894</c:v>
                </c:pt>
              </c:numCache>
            </c:numRef>
          </c:cat>
          <c:val>
            <c:numRef>
              <c:f>チャート!$AE$220:$AE$246</c:f>
              <c:numCache>
                <c:formatCode>#,##0.00_);[Red]\(#,##0.00\)</c:formatCode>
                <c:ptCount val="27"/>
                <c:pt idx="0">
                  <c:v>502.53856999999999</c:v>
                </c:pt>
                <c:pt idx="1">
                  <c:v>516.31732</c:v>
                </c:pt>
                <c:pt idx="2">
                  <c:v>528.11193000000003</c:v>
                </c:pt>
                <c:pt idx="3">
                  <c:v>521.27767000000006</c:v>
                </c:pt>
                <c:pt idx="4">
                  <c:v>538.25309000000004</c:v>
                </c:pt>
                <c:pt idx="5">
                  <c:v>540.78838000000007</c:v>
                </c:pt>
                <c:pt idx="6">
                  <c:v>541.44975999999997</c:v>
                </c:pt>
                <c:pt idx="7">
                  <c:v>548.39425000000006</c:v>
                </c:pt>
                <c:pt idx="8">
                  <c:v>529.32446000000004</c:v>
                </c:pt>
                <c:pt idx="9">
                  <c:v>554.01598000000001</c:v>
                </c:pt>
                <c:pt idx="10">
                  <c:v>551.37045999999998</c:v>
                </c:pt>
                <c:pt idx="11">
                  <c:v>537.48148000000003</c:v>
                </c:pt>
                <c:pt idx="12">
                  <c:v>515.76616999999999</c:v>
                </c:pt>
                <c:pt idx="13">
                  <c:v>506.17616000000004</c:v>
                </c:pt>
                <c:pt idx="14">
                  <c:v>517.86054000000001</c:v>
                </c:pt>
                <c:pt idx="15">
                  <c:v>492.72810000000004</c:v>
                </c:pt>
                <c:pt idx="16">
                  <c:v>464.95014000000003</c:v>
                </c:pt>
                <c:pt idx="17">
                  <c:v>419.20469000000003</c:v>
                </c:pt>
                <c:pt idx="18">
                  <c:v>438.71540000000005</c:v>
                </c:pt>
                <c:pt idx="19">
                  <c:v>427.14125000000001</c:v>
                </c:pt>
                <c:pt idx="20">
                  <c:v>438.16425000000004</c:v>
                </c:pt>
                <c:pt idx="21">
                  <c:v>428.02309000000002</c:v>
                </c:pt>
                <c:pt idx="22">
                  <c:v>477.62659000000002</c:v>
                </c:pt>
                <c:pt idx="23">
                  <c:v>484.46085000000005</c:v>
                </c:pt>
                <c:pt idx="24">
                  <c:v>480.71303000000006</c:v>
                </c:pt>
                <c:pt idx="25">
                  <c:v>465.22</c:v>
                </c:pt>
                <c:pt idx="26">
                  <c:v>449.73840000000001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1324672"/>
        <c:axId val="101335040"/>
      </c:lineChart>
      <c:catAx>
        <c:axId val="101324672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0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1335040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01335040"/>
        <c:scaling>
          <c:orientation val="minMax"/>
          <c:max val="560"/>
          <c:min val="40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25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ドル/トン</a:t>
                </a:r>
              </a:p>
            </c:rich>
          </c:tx>
          <c:layout>
            <c:manualLayout>
              <c:xMode val="edge"/>
              <c:yMode val="edge"/>
              <c:x val="4.2416437590271631E-2"/>
              <c:y val="8.6655112651646445E-3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1324672"/>
        <c:crosses val="autoZero"/>
        <c:crossBetween val="between"/>
        <c:majorUnit val="40"/>
        <c:minorUnit val="20"/>
      </c:valAx>
      <c:spPr>
        <a:solidFill>
          <a:srgbClr val="FFFFFF"/>
        </a:solidFill>
        <a:ln w="12700">
          <a:solidFill>
            <a:sysClr val="windowText" lastClr="00000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ja-JP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 algn="ctr">
              <a:defRPr sz="16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r>
              <a:rPr lang="ja-JP" altLang="en-US" sz="1600"/>
              <a:t>ドル円為替相場（東京市場対顧客電信相場）</a:t>
            </a:r>
          </a:p>
        </c:rich>
      </c:tx>
      <c:layout>
        <c:manualLayout>
          <c:xMode val="edge"/>
          <c:yMode val="edge"/>
          <c:x val="0.15404645625996391"/>
          <c:y val="3.7439694554059905E-2"/>
        </c:manualLayout>
      </c:layout>
      <c:overlay val="0"/>
      <c:spPr>
        <a:noFill/>
        <a:ln w="25400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7.7331093712506363E-2"/>
          <c:y val="0.16077412561801868"/>
          <c:w val="0.8905269991499114"/>
          <c:h val="0.63528221258063566"/>
        </c:manualLayout>
      </c:layout>
      <c:lineChart>
        <c:grouping val="standard"/>
        <c:varyColors val="0"/>
        <c:ser>
          <c:idx val="0"/>
          <c:order val="0"/>
          <c:spPr>
            <a:ln w="12700">
              <a:solidFill>
                <a:schemeClr val="tx1"/>
              </a:solidFill>
            </a:ln>
          </c:spPr>
          <c:marker>
            <c:symbol val="diamond"/>
            <c:size val="6"/>
            <c:spPr>
              <a:solidFill>
                <a:schemeClr val="tx1"/>
              </a:solidFill>
              <a:ln>
                <a:solidFill>
                  <a:schemeClr val="tx1"/>
                </a:solidFill>
              </a:ln>
            </c:spPr>
          </c:marker>
          <c:cat>
            <c:numRef>
              <c:f>チャート!$Q$220:$Q$246</c:f>
              <c:numCache>
                <c:formatCode>m"月"d"日"</c:formatCode>
                <c:ptCount val="27"/>
                <c:pt idx="0">
                  <c:v>41719</c:v>
                </c:pt>
                <c:pt idx="1">
                  <c:v>41726</c:v>
                </c:pt>
                <c:pt idx="2">
                  <c:v>41733</c:v>
                </c:pt>
                <c:pt idx="3">
                  <c:v>41740</c:v>
                </c:pt>
                <c:pt idx="4">
                  <c:v>41747</c:v>
                </c:pt>
                <c:pt idx="5">
                  <c:v>41754</c:v>
                </c:pt>
                <c:pt idx="6">
                  <c:v>41761</c:v>
                </c:pt>
                <c:pt idx="7">
                  <c:v>41768</c:v>
                </c:pt>
                <c:pt idx="8">
                  <c:v>41775</c:v>
                </c:pt>
                <c:pt idx="9">
                  <c:v>41782</c:v>
                </c:pt>
                <c:pt idx="10">
                  <c:v>41789</c:v>
                </c:pt>
                <c:pt idx="11">
                  <c:v>41796</c:v>
                </c:pt>
                <c:pt idx="12">
                  <c:v>41803</c:v>
                </c:pt>
                <c:pt idx="13">
                  <c:v>41810</c:v>
                </c:pt>
                <c:pt idx="14">
                  <c:v>41817</c:v>
                </c:pt>
                <c:pt idx="15">
                  <c:v>41823</c:v>
                </c:pt>
                <c:pt idx="16">
                  <c:v>41831</c:v>
                </c:pt>
                <c:pt idx="17">
                  <c:v>41838</c:v>
                </c:pt>
                <c:pt idx="18">
                  <c:v>41845</c:v>
                </c:pt>
                <c:pt idx="19">
                  <c:v>41852</c:v>
                </c:pt>
                <c:pt idx="20">
                  <c:v>41859</c:v>
                </c:pt>
                <c:pt idx="21">
                  <c:v>41866</c:v>
                </c:pt>
                <c:pt idx="22">
                  <c:v>41873</c:v>
                </c:pt>
                <c:pt idx="23">
                  <c:v>41880</c:v>
                </c:pt>
                <c:pt idx="24">
                  <c:v>41887</c:v>
                </c:pt>
                <c:pt idx="25">
                  <c:v>41894</c:v>
                </c:pt>
                <c:pt idx="26">
                  <c:v>41894</c:v>
                </c:pt>
              </c:numCache>
            </c:numRef>
          </c:cat>
          <c:val>
            <c:numRef>
              <c:f>チャート!$R$220:$R$246</c:f>
              <c:numCache>
                <c:formatCode>General</c:formatCode>
                <c:ptCount val="27"/>
                <c:pt idx="0">
                  <c:v>102.32</c:v>
                </c:pt>
                <c:pt idx="1">
                  <c:v>102.06</c:v>
                </c:pt>
                <c:pt idx="2">
                  <c:v>103.91</c:v>
                </c:pt>
                <c:pt idx="3">
                  <c:v>101.54</c:v>
                </c:pt>
                <c:pt idx="4">
                  <c:v>102.55</c:v>
                </c:pt>
                <c:pt idx="5">
                  <c:v>102.39</c:v>
                </c:pt>
                <c:pt idx="6">
                  <c:v>102.37</c:v>
                </c:pt>
                <c:pt idx="7">
                  <c:v>101.68</c:v>
                </c:pt>
                <c:pt idx="8">
                  <c:v>101.63</c:v>
                </c:pt>
                <c:pt idx="9">
                  <c:v>101.84</c:v>
                </c:pt>
                <c:pt idx="10">
                  <c:v>101.66</c:v>
                </c:pt>
                <c:pt idx="11">
                  <c:v>102.36</c:v>
                </c:pt>
                <c:pt idx="12">
                  <c:v>101.8</c:v>
                </c:pt>
                <c:pt idx="13">
                  <c:v>101.92</c:v>
                </c:pt>
                <c:pt idx="14">
                  <c:v>101.55</c:v>
                </c:pt>
                <c:pt idx="15">
                  <c:v>102.15</c:v>
                </c:pt>
                <c:pt idx="16">
                  <c:v>101.37</c:v>
                </c:pt>
                <c:pt idx="17">
                  <c:v>101.26</c:v>
                </c:pt>
                <c:pt idx="18">
                  <c:v>101.8</c:v>
                </c:pt>
                <c:pt idx="19">
                  <c:v>102.82</c:v>
                </c:pt>
                <c:pt idx="20">
                  <c:v>102.13</c:v>
                </c:pt>
                <c:pt idx="21">
                  <c:v>102.51</c:v>
                </c:pt>
                <c:pt idx="22">
                  <c:v>103.96</c:v>
                </c:pt>
                <c:pt idx="23">
                  <c:v>103.74</c:v>
                </c:pt>
                <c:pt idx="24">
                  <c:v>105.57</c:v>
                </c:pt>
                <c:pt idx="25">
                  <c:v>106.4</c:v>
                </c:pt>
                <c:pt idx="26">
                  <c:v>107.22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01346688"/>
        <c:axId val="101361152"/>
      </c:lineChart>
      <c:catAx>
        <c:axId val="101346688"/>
        <c:scaling>
          <c:orientation val="minMax"/>
        </c:scaling>
        <c:delete val="0"/>
        <c:axPos val="b"/>
        <c:numFmt formatCode="m&quot;月&quot;d&quot;日&quot;;@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1361152"/>
        <c:crosses val="autoZero"/>
        <c:auto val="0"/>
        <c:lblAlgn val="ctr"/>
        <c:lblOffset val="100"/>
        <c:tickLblSkip val="2"/>
        <c:tickMarkSkip val="1"/>
        <c:noMultiLvlLbl val="0"/>
      </c:catAx>
      <c:valAx>
        <c:axId val="101361152"/>
        <c:scaling>
          <c:orientation val="minMax"/>
          <c:max val="108"/>
          <c:min val="100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ysDash"/>
            </a:ln>
          </c:spPr>
        </c:majorGridlines>
        <c:title>
          <c:tx>
            <c:rich>
              <a:bodyPr rot="0" vert="horz"/>
              <a:lstStyle/>
              <a:p>
                <a:pPr algn="ctr">
                  <a:defRPr sz="1100" b="0" i="0" u="none" strike="noStrike" baseline="0">
                    <a:solidFill>
                      <a:srgbClr val="000000"/>
                    </a:solidFill>
                    <a:latin typeface="ＭＳ Ｐゴシック"/>
                    <a:ea typeface="ＭＳ Ｐゴシック"/>
                    <a:cs typeface="ＭＳ Ｐゴシック"/>
                  </a:defRPr>
                </a:pPr>
                <a:r>
                  <a:rPr lang="ja-JP" altLang="en-US" sz="1050" b="0" i="0" u="none" strike="noStrike" baseline="0">
                    <a:solidFill>
                      <a:srgbClr val="000000"/>
                    </a:solidFill>
                    <a:latin typeface="ＭＳ Ｐ明朝"/>
                    <a:ea typeface="ＭＳ Ｐ明朝"/>
                  </a:rPr>
                  <a:t>円/ドル</a:t>
                </a:r>
              </a:p>
            </c:rich>
          </c:tx>
          <c:layout>
            <c:manualLayout>
              <c:xMode val="edge"/>
              <c:yMode val="edge"/>
              <c:x val="1.567324356343261E-3"/>
              <c:y val="3.6100138645459972E-4"/>
            </c:manualLayout>
          </c:layout>
          <c:overlay val="0"/>
          <c:spPr>
            <a:noFill/>
            <a:ln w="25400">
              <a:noFill/>
            </a:ln>
          </c:spPr>
        </c:title>
        <c:numFmt formatCode="0" sourceLinked="0"/>
        <c:majorTickMark val="in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200" b="0" i="0" u="none" strike="noStrike" baseline="0">
                <a:solidFill>
                  <a:srgbClr val="000000"/>
                </a:solidFill>
                <a:latin typeface="ＭＳ Ｐ明朝"/>
                <a:ea typeface="ＭＳ Ｐ明朝"/>
                <a:cs typeface="ＭＳ Ｐ明朝"/>
              </a:defRPr>
            </a:pPr>
            <a:endParaRPr lang="ja-JP"/>
          </a:p>
        </c:txPr>
        <c:crossAx val="101346688"/>
        <c:crosses val="autoZero"/>
        <c:crossBetween val="between"/>
        <c:majorUnit val="2"/>
      </c:valAx>
      <c:spPr>
        <a:solidFill>
          <a:srgbClr val="FFFFFF"/>
        </a:solidFill>
        <a:ln w="12700">
          <a:solidFill>
            <a:sysClr val="windowText" lastClr="00000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1200" b="0" i="0" u="none" strike="noStrike" baseline="0">
          <a:solidFill>
            <a:srgbClr val="000000"/>
          </a:solidFill>
          <a:latin typeface="ＭＳ Ｐゴシック"/>
          <a:ea typeface="ＭＳ Ｐゴシック"/>
          <a:cs typeface="ＭＳ Ｐゴシック"/>
        </a:defRPr>
      </a:pPr>
      <a:endParaRPr lang="ja-JP"/>
    </a:p>
  </c:txPr>
  <c:externalData r:id="rId2">
    <c:autoUpdate val="0"/>
  </c:externalData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0.36168</cdr:x>
      <cdr:y>0.01358</cdr:y>
    </cdr:from>
    <cdr:to>
      <cdr:x>0.65306</cdr:x>
      <cdr:y>0.09998</cdr:y>
    </cdr:to>
    <cdr:sp macro="" textlink="">
      <cdr:nvSpPr>
        <cdr:cNvPr id="2" name="テキスト ボックス 1"/>
        <cdr:cNvSpPr txBox="1"/>
      </cdr:nvSpPr>
      <cdr:spPr>
        <a:xfrm xmlns:a="http://schemas.openxmlformats.org/drawingml/2006/main">
          <a:off x="1953086" y="47109"/>
          <a:ext cx="1573464" cy="299733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 anchor="ctr"/>
        <a:lstStyle xmlns:a="http://schemas.openxmlformats.org/drawingml/2006/main"/>
        <a:p xmlns:a="http://schemas.openxmlformats.org/drawingml/2006/main">
          <a:pPr algn="ctr"/>
          <a:r>
            <a:rPr lang="ja-JP" altLang="en-US" sz="1800">
              <a:latin typeface="ＭＳ Ｐ明朝" pitchFamily="18" charset="-128"/>
              <a:ea typeface="ＭＳ Ｐ明朝" pitchFamily="18" charset="-128"/>
            </a:rPr>
            <a:t>とうもろこしシカゴ定期の推移</a:t>
          </a:r>
        </a:p>
      </cdr:txBody>
    </cdr:sp>
  </cdr:relSizeAnchor>
  <cdr:relSizeAnchor xmlns:cdr="http://schemas.openxmlformats.org/drawingml/2006/chartDrawing">
    <cdr:from>
      <cdr:x>0.01348</cdr:x>
      <cdr:y>0.00846</cdr:y>
    </cdr:from>
    <cdr:to>
      <cdr:x>0.15966</cdr:x>
      <cdr:y>0.10453</cdr:y>
    </cdr:to>
    <cdr:sp macro="" textlink="">
      <cdr:nvSpPr>
        <cdr:cNvPr id="3" name="テキスト ボックス 2"/>
        <cdr:cNvSpPr txBox="1"/>
      </cdr:nvSpPr>
      <cdr:spPr>
        <a:xfrm xmlns:a="http://schemas.openxmlformats.org/drawingml/2006/main">
          <a:off x="72793" y="29347"/>
          <a:ext cx="789377" cy="333259"/>
        </a:xfrm>
        <a:prstGeom xmlns:a="http://schemas.openxmlformats.org/drawingml/2006/main" prst="rect">
          <a:avLst/>
        </a:prstGeom>
      </cdr:spPr>
      <cdr:txBody>
        <a:bodyPr xmlns:a="http://schemas.openxmlformats.org/drawingml/2006/main" vertOverflow="clip" wrap="none" rtlCol="0"/>
        <a:lstStyle xmlns:a="http://schemas.openxmlformats.org/drawingml/2006/main"/>
        <a:p xmlns:a="http://schemas.openxmlformats.org/drawingml/2006/main">
          <a:pPr algn="ctr"/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セント</a:t>
          </a:r>
          <a:r>
            <a:rPr lang="en-US" altLang="ja-JP" sz="1050">
              <a:latin typeface="ＭＳ Ｐ明朝" pitchFamily="18" charset="-128"/>
              <a:ea typeface="ＭＳ Ｐ明朝" pitchFamily="18" charset="-128"/>
            </a:rPr>
            <a:t>/</a:t>
          </a:r>
          <a:r>
            <a:rPr lang="ja-JP" altLang="en-US" sz="1050">
              <a:latin typeface="ＭＳ Ｐ明朝" pitchFamily="18" charset="-128"/>
              <a:ea typeface="ＭＳ Ｐ明朝" pitchFamily="18" charset="-128"/>
            </a:rPr>
            <a:t>ブッシェル</a:t>
          </a:r>
        </a:p>
      </cdr:txBody>
    </cdr:sp>
  </cdr:relSizeAnchor>
</c:userShape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Tahoma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Ｐゴシック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Tahoma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M4162B</dc:creator>
  <cp:lastModifiedBy>l4162m</cp:lastModifiedBy>
  <cp:revision>4</cp:revision>
  <cp:lastPrinted>2014-09-18T10:58:00Z</cp:lastPrinted>
  <dcterms:created xsi:type="dcterms:W3CDTF">2014-09-18T10:59:00Z</dcterms:created>
  <dcterms:modified xsi:type="dcterms:W3CDTF">2014-09-18T11:14:00Z</dcterms:modified>
</cp:coreProperties>
</file>