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drawings/drawing1.xml" ContentType="application/vnd.openxmlformats-officedocument.drawingml.chartshapes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3D5F" w:rsidRDefault="00A73D5F" w:rsidP="00A73D5F">
      <w:pPr>
        <w:jc w:val="center"/>
      </w:pPr>
      <w:r>
        <w:rPr>
          <w:noProof/>
        </w:rPr>
        <w:drawing>
          <wp:inline distT="0" distB="0" distL="0" distR="0" wp14:anchorId="6F271554" wp14:editId="3F3F3775">
            <wp:extent cx="5591175" cy="3190875"/>
            <wp:effectExtent l="0" t="0" r="0" b="0"/>
            <wp:docPr id="1" name="グラフ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  <w:bookmarkStart w:id="0" w:name="_GoBack"/>
      <w:bookmarkEnd w:id="0"/>
    </w:p>
    <w:p w:rsidR="00A73D5F" w:rsidRDefault="00A73D5F" w:rsidP="00A73D5F">
      <w:pPr>
        <w:jc w:val="center"/>
      </w:pPr>
      <w:r>
        <w:rPr>
          <w:noProof/>
        </w:rPr>
        <w:drawing>
          <wp:inline distT="0" distB="0" distL="0" distR="0" wp14:anchorId="796A06A2" wp14:editId="5DBC3E24">
            <wp:extent cx="5581650" cy="3048000"/>
            <wp:effectExtent l="0" t="0" r="0" b="0"/>
            <wp:docPr id="2" name="グラフ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423A84" w:rsidRPr="00A73D5F" w:rsidRDefault="00A73D5F" w:rsidP="00A90057">
      <w:pPr>
        <w:jc w:val="center"/>
      </w:pPr>
      <w:r>
        <w:rPr>
          <w:noProof/>
        </w:rPr>
        <w:drawing>
          <wp:inline distT="0" distB="0" distL="0" distR="0" wp14:anchorId="733CAA4E" wp14:editId="7A8975B9">
            <wp:extent cx="5895975" cy="3086100"/>
            <wp:effectExtent l="0" t="0" r="0" b="0"/>
            <wp:docPr id="3" name="グラフ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sectPr w:rsidR="00423A84" w:rsidRPr="00A73D5F" w:rsidSect="00A73D5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D5F"/>
    <w:rsid w:val="00023AAE"/>
    <w:rsid w:val="00034847"/>
    <w:rsid w:val="00053C7F"/>
    <w:rsid w:val="00055A44"/>
    <w:rsid w:val="0008682C"/>
    <w:rsid w:val="0009136F"/>
    <w:rsid w:val="000B5F9D"/>
    <w:rsid w:val="00135719"/>
    <w:rsid w:val="001460B3"/>
    <w:rsid w:val="001525E7"/>
    <w:rsid w:val="00173E15"/>
    <w:rsid w:val="001C60B7"/>
    <w:rsid w:val="001F1FF4"/>
    <w:rsid w:val="0024238F"/>
    <w:rsid w:val="00274A14"/>
    <w:rsid w:val="002B112E"/>
    <w:rsid w:val="002C41FF"/>
    <w:rsid w:val="002E7805"/>
    <w:rsid w:val="002F5A38"/>
    <w:rsid w:val="00300CF2"/>
    <w:rsid w:val="00325EA5"/>
    <w:rsid w:val="00336A2B"/>
    <w:rsid w:val="0036671C"/>
    <w:rsid w:val="00383787"/>
    <w:rsid w:val="00392261"/>
    <w:rsid w:val="003B3BD8"/>
    <w:rsid w:val="003F39D3"/>
    <w:rsid w:val="004158AD"/>
    <w:rsid w:val="00417328"/>
    <w:rsid w:val="00423A84"/>
    <w:rsid w:val="004710FC"/>
    <w:rsid w:val="004831CC"/>
    <w:rsid w:val="004D0694"/>
    <w:rsid w:val="005458E9"/>
    <w:rsid w:val="00552CF0"/>
    <w:rsid w:val="005555E6"/>
    <w:rsid w:val="00580B17"/>
    <w:rsid w:val="005C3200"/>
    <w:rsid w:val="005D0F5A"/>
    <w:rsid w:val="00604219"/>
    <w:rsid w:val="00610469"/>
    <w:rsid w:val="00616B4B"/>
    <w:rsid w:val="00650835"/>
    <w:rsid w:val="00725238"/>
    <w:rsid w:val="00752053"/>
    <w:rsid w:val="008117E8"/>
    <w:rsid w:val="00886DE2"/>
    <w:rsid w:val="008931C9"/>
    <w:rsid w:val="008E64DC"/>
    <w:rsid w:val="009067E9"/>
    <w:rsid w:val="00910CA3"/>
    <w:rsid w:val="009370C0"/>
    <w:rsid w:val="00937418"/>
    <w:rsid w:val="009567A6"/>
    <w:rsid w:val="0098425D"/>
    <w:rsid w:val="00996B84"/>
    <w:rsid w:val="009B3036"/>
    <w:rsid w:val="009B5EFA"/>
    <w:rsid w:val="00A027FE"/>
    <w:rsid w:val="00A45E2B"/>
    <w:rsid w:val="00A500EF"/>
    <w:rsid w:val="00A73D5F"/>
    <w:rsid w:val="00A77261"/>
    <w:rsid w:val="00A90057"/>
    <w:rsid w:val="00AC2B8C"/>
    <w:rsid w:val="00AF3D09"/>
    <w:rsid w:val="00AF74EB"/>
    <w:rsid w:val="00B1321B"/>
    <w:rsid w:val="00B374C3"/>
    <w:rsid w:val="00B4017A"/>
    <w:rsid w:val="00B441AF"/>
    <w:rsid w:val="00B60E7C"/>
    <w:rsid w:val="00B97989"/>
    <w:rsid w:val="00BD3716"/>
    <w:rsid w:val="00BE3AA3"/>
    <w:rsid w:val="00BF0D3E"/>
    <w:rsid w:val="00C035B8"/>
    <w:rsid w:val="00C57CD2"/>
    <w:rsid w:val="00C7068F"/>
    <w:rsid w:val="00C73EFE"/>
    <w:rsid w:val="00C8117A"/>
    <w:rsid w:val="00C8738A"/>
    <w:rsid w:val="00CD0B28"/>
    <w:rsid w:val="00CF28A1"/>
    <w:rsid w:val="00D04347"/>
    <w:rsid w:val="00D06D32"/>
    <w:rsid w:val="00D33588"/>
    <w:rsid w:val="00D33BCE"/>
    <w:rsid w:val="00D73875"/>
    <w:rsid w:val="00D76323"/>
    <w:rsid w:val="00D94703"/>
    <w:rsid w:val="00D964F9"/>
    <w:rsid w:val="00DC00B6"/>
    <w:rsid w:val="00DC341B"/>
    <w:rsid w:val="00DD76B2"/>
    <w:rsid w:val="00E25E0E"/>
    <w:rsid w:val="00E435C6"/>
    <w:rsid w:val="00E5095B"/>
    <w:rsid w:val="00EA64AF"/>
    <w:rsid w:val="00EE5238"/>
    <w:rsid w:val="00EF0FD4"/>
    <w:rsid w:val="00F01DF7"/>
    <w:rsid w:val="00F777F4"/>
    <w:rsid w:val="00FB4714"/>
    <w:rsid w:val="00FB4ABD"/>
    <w:rsid w:val="00FC3ACC"/>
    <w:rsid w:val="00FD4CF0"/>
    <w:rsid w:val="00FD4E33"/>
    <w:rsid w:val="00FF01C1"/>
    <w:rsid w:val="00FF4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73D5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A73D5F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73D5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A73D5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hart" Target="charts/chart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chart" Target="charts/chart2.xml"/><Relationship Id="rId5" Type="http://schemas.openxmlformats.org/officeDocument/2006/relationships/chart" Target="charts/chart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package" Target="../embeddings/Microsoft_Excel_______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______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______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9.2873501544845222E-2"/>
          <c:y val="0.14866975451597961"/>
          <c:w val="0.8875298920968212"/>
          <c:h val="0.64090132017079959"/>
        </c:manualLayout>
      </c:layout>
      <c:lineChart>
        <c:grouping val="standard"/>
        <c:varyColors val="0"/>
        <c:ser>
          <c:idx val="0"/>
          <c:order val="0"/>
          <c:tx>
            <c:strRef>
              <c:f>チャート!$B$35</c:f>
              <c:strCache>
                <c:ptCount val="1"/>
                <c:pt idx="0">
                  <c:v>３月限</c:v>
                </c:pt>
              </c:strCache>
            </c:strRef>
          </c:tx>
          <c:spPr>
            <a:ln w="12700">
              <a:solidFill>
                <a:schemeClr val="tx1"/>
              </a:solidFill>
            </a:ln>
          </c:spPr>
          <c:marker>
            <c:symbol val="diamond"/>
            <c:size val="5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cat>
            <c:numRef>
              <c:f>チャート!$A$233:$A$257</c:f>
              <c:numCache>
                <c:formatCode>m"月"d"日"</c:formatCode>
                <c:ptCount val="25"/>
                <c:pt idx="0">
                  <c:v>41810</c:v>
                </c:pt>
                <c:pt idx="1">
                  <c:v>41817</c:v>
                </c:pt>
                <c:pt idx="2">
                  <c:v>41823</c:v>
                </c:pt>
                <c:pt idx="3">
                  <c:v>41831</c:v>
                </c:pt>
                <c:pt idx="4">
                  <c:v>41838</c:v>
                </c:pt>
                <c:pt idx="5">
                  <c:v>41845</c:v>
                </c:pt>
                <c:pt idx="6">
                  <c:v>41852</c:v>
                </c:pt>
                <c:pt idx="7">
                  <c:v>41859</c:v>
                </c:pt>
                <c:pt idx="8">
                  <c:v>41866</c:v>
                </c:pt>
                <c:pt idx="9">
                  <c:v>41873</c:v>
                </c:pt>
                <c:pt idx="10">
                  <c:v>41880</c:v>
                </c:pt>
                <c:pt idx="11">
                  <c:v>41887</c:v>
                </c:pt>
                <c:pt idx="12">
                  <c:v>41894</c:v>
                </c:pt>
                <c:pt idx="13">
                  <c:v>41901</c:v>
                </c:pt>
                <c:pt idx="14">
                  <c:v>41908</c:v>
                </c:pt>
                <c:pt idx="15">
                  <c:v>41915</c:v>
                </c:pt>
                <c:pt idx="16">
                  <c:v>41922</c:v>
                </c:pt>
                <c:pt idx="17">
                  <c:v>41929</c:v>
                </c:pt>
                <c:pt idx="18">
                  <c:v>41936</c:v>
                </c:pt>
                <c:pt idx="19">
                  <c:v>41943</c:v>
                </c:pt>
                <c:pt idx="20">
                  <c:v>41950</c:v>
                </c:pt>
                <c:pt idx="21">
                  <c:v>41957</c:v>
                </c:pt>
                <c:pt idx="22">
                  <c:v>41964</c:v>
                </c:pt>
                <c:pt idx="23">
                  <c:v>41971</c:v>
                </c:pt>
                <c:pt idx="24">
                  <c:v>41978</c:v>
                </c:pt>
              </c:numCache>
            </c:numRef>
          </c:cat>
          <c:val>
            <c:numRef>
              <c:f>チャート!$B$233:$B$257</c:f>
              <c:numCache>
                <c:formatCode>General</c:formatCode>
                <c:ptCount val="25"/>
                <c:pt idx="0">
                  <c:v>462.25</c:v>
                </c:pt>
                <c:pt idx="1">
                  <c:v>458</c:v>
                </c:pt>
                <c:pt idx="2">
                  <c:v>426.75</c:v>
                </c:pt>
                <c:pt idx="3">
                  <c:v>396</c:v>
                </c:pt>
                <c:pt idx="4">
                  <c:v>390.5</c:v>
                </c:pt>
                <c:pt idx="5">
                  <c:v>383.25</c:v>
                </c:pt>
                <c:pt idx="6">
                  <c:v>374.75</c:v>
                </c:pt>
                <c:pt idx="7">
                  <c:v>376.5</c:v>
                </c:pt>
                <c:pt idx="8">
                  <c:v>390.25</c:v>
                </c:pt>
                <c:pt idx="9">
                  <c:v>384.25</c:v>
                </c:pt>
                <c:pt idx="10">
                  <c:v>377.75</c:v>
                </c:pt>
                <c:pt idx="11">
                  <c:v>368.75</c:v>
                </c:pt>
                <c:pt idx="12">
                  <c:v>351</c:v>
                </c:pt>
                <c:pt idx="13">
                  <c:v>344.25</c:v>
                </c:pt>
                <c:pt idx="14">
                  <c:v>335.75</c:v>
                </c:pt>
                <c:pt idx="15">
                  <c:v>336.25</c:v>
                </c:pt>
                <c:pt idx="16">
                  <c:v>358.5</c:v>
                </c:pt>
                <c:pt idx="17">
                  <c:v>361.25</c:v>
                </c:pt>
                <c:pt idx="18">
                  <c:v>366.75</c:v>
                </c:pt>
                <c:pt idx="19">
                  <c:v>389.25</c:v>
                </c:pt>
                <c:pt idx="20">
                  <c:v>380.5</c:v>
                </c:pt>
                <c:pt idx="21">
                  <c:v>394.25</c:v>
                </c:pt>
                <c:pt idx="22">
                  <c:v>385.25</c:v>
                </c:pt>
                <c:pt idx="23">
                  <c:v>388.75</c:v>
                </c:pt>
                <c:pt idx="24">
                  <c:v>395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チャート!$F$35</c:f>
              <c:strCache>
                <c:ptCount val="1"/>
                <c:pt idx="0">
                  <c:v>１２月限</c:v>
                </c:pt>
              </c:strCache>
            </c:strRef>
          </c:tx>
          <c:spPr>
            <a:ln w="12700">
              <a:solidFill>
                <a:schemeClr val="tx1"/>
              </a:solidFill>
            </a:ln>
          </c:spPr>
          <c:marker>
            <c:symbol val="square"/>
            <c:size val="3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cat>
            <c:numRef>
              <c:f>チャート!$A$233:$A$257</c:f>
              <c:numCache>
                <c:formatCode>m"月"d"日"</c:formatCode>
                <c:ptCount val="25"/>
                <c:pt idx="0">
                  <c:v>41810</c:v>
                </c:pt>
                <c:pt idx="1">
                  <c:v>41817</c:v>
                </c:pt>
                <c:pt idx="2">
                  <c:v>41823</c:v>
                </c:pt>
                <c:pt idx="3">
                  <c:v>41831</c:v>
                </c:pt>
                <c:pt idx="4">
                  <c:v>41838</c:v>
                </c:pt>
                <c:pt idx="5">
                  <c:v>41845</c:v>
                </c:pt>
                <c:pt idx="6">
                  <c:v>41852</c:v>
                </c:pt>
                <c:pt idx="7">
                  <c:v>41859</c:v>
                </c:pt>
                <c:pt idx="8">
                  <c:v>41866</c:v>
                </c:pt>
                <c:pt idx="9">
                  <c:v>41873</c:v>
                </c:pt>
                <c:pt idx="10">
                  <c:v>41880</c:v>
                </c:pt>
                <c:pt idx="11">
                  <c:v>41887</c:v>
                </c:pt>
                <c:pt idx="12">
                  <c:v>41894</c:v>
                </c:pt>
                <c:pt idx="13">
                  <c:v>41901</c:v>
                </c:pt>
                <c:pt idx="14">
                  <c:v>41908</c:v>
                </c:pt>
                <c:pt idx="15">
                  <c:v>41915</c:v>
                </c:pt>
                <c:pt idx="16">
                  <c:v>41922</c:v>
                </c:pt>
                <c:pt idx="17">
                  <c:v>41929</c:v>
                </c:pt>
                <c:pt idx="18">
                  <c:v>41936</c:v>
                </c:pt>
                <c:pt idx="19">
                  <c:v>41943</c:v>
                </c:pt>
                <c:pt idx="20">
                  <c:v>41950</c:v>
                </c:pt>
                <c:pt idx="21">
                  <c:v>41957</c:v>
                </c:pt>
                <c:pt idx="22">
                  <c:v>41964</c:v>
                </c:pt>
                <c:pt idx="23">
                  <c:v>41971</c:v>
                </c:pt>
                <c:pt idx="24">
                  <c:v>41978</c:v>
                </c:pt>
              </c:numCache>
            </c:numRef>
          </c:cat>
          <c:val>
            <c:numRef>
              <c:f>チャート!$F$233:$F$257</c:f>
              <c:numCache>
                <c:formatCode>General</c:formatCode>
                <c:ptCount val="25"/>
                <c:pt idx="0">
                  <c:v>452</c:v>
                </c:pt>
                <c:pt idx="1">
                  <c:v>447.25</c:v>
                </c:pt>
                <c:pt idx="2">
                  <c:v>415.25</c:v>
                </c:pt>
                <c:pt idx="3">
                  <c:v>384.75</c:v>
                </c:pt>
                <c:pt idx="4">
                  <c:v>378.5</c:v>
                </c:pt>
                <c:pt idx="5">
                  <c:v>371.75</c:v>
                </c:pt>
                <c:pt idx="6">
                  <c:v>362.25</c:v>
                </c:pt>
                <c:pt idx="7">
                  <c:v>363.5</c:v>
                </c:pt>
                <c:pt idx="8">
                  <c:v>377</c:v>
                </c:pt>
                <c:pt idx="9">
                  <c:v>371.5</c:v>
                </c:pt>
                <c:pt idx="10">
                  <c:v>364.75</c:v>
                </c:pt>
                <c:pt idx="11">
                  <c:v>356</c:v>
                </c:pt>
                <c:pt idx="12">
                  <c:v>338.5</c:v>
                </c:pt>
                <c:pt idx="13">
                  <c:v>331.5</c:v>
                </c:pt>
                <c:pt idx="14">
                  <c:v>323</c:v>
                </c:pt>
                <c:pt idx="15">
                  <c:v>323.25</c:v>
                </c:pt>
                <c:pt idx="16">
                  <c:v>346</c:v>
                </c:pt>
                <c:pt idx="17">
                  <c:v>348</c:v>
                </c:pt>
                <c:pt idx="18">
                  <c:v>353</c:v>
                </c:pt>
                <c:pt idx="19">
                  <c:v>376.75</c:v>
                </c:pt>
                <c:pt idx="20">
                  <c:v>367.5</c:v>
                </c:pt>
                <c:pt idx="21">
                  <c:v>381.75</c:v>
                </c:pt>
                <c:pt idx="22">
                  <c:v>372.75</c:v>
                </c:pt>
                <c:pt idx="23">
                  <c:v>375.75</c:v>
                </c:pt>
                <c:pt idx="24">
                  <c:v>381.5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98906112"/>
        <c:axId val="98908032"/>
      </c:lineChart>
      <c:catAx>
        <c:axId val="98906112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ln>
            <a:solidFill>
              <a:srgbClr val="000000"/>
            </a:solidFill>
          </a:ln>
        </c:spPr>
        <c:txPr>
          <a:bodyPr rot="-3000000" vert="horz"/>
          <a:lstStyle/>
          <a:p>
            <a:pPr>
              <a:defRPr sz="1100">
                <a:solidFill>
                  <a:sysClr val="windowText" lastClr="000000"/>
                </a:solidFill>
              </a:defRPr>
            </a:pPr>
            <a:endParaRPr lang="ja-JP"/>
          </a:p>
        </c:txPr>
        <c:crossAx val="98908032"/>
        <c:crosses val="autoZero"/>
        <c:auto val="0"/>
        <c:lblAlgn val="ctr"/>
        <c:lblOffset val="100"/>
        <c:tickLblSkip val="2"/>
        <c:tickMarkSkip val="1"/>
        <c:noMultiLvlLbl val="0"/>
      </c:catAx>
      <c:valAx>
        <c:axId val="98908032"/>
        <c:scaling>
          <c:orientation val="minMax"/>
          <c:max val="480"/>
          <c:min val="320"/>
        </c:scaling>
        <c:delete val="0"/>
        <c:axPos val="l"/>
        <c:majorGridlines>
          <c:spPr>
            <a:ln w="3175">
              <a:solidFill>
                <a:schemeClr val="tx1"/>
              </a:solidFill>
              <a:prstDash val="sysDash"/>
            </a:ln>
          </c:spPr>
        </c:majorGridlines>
        <c:numFmt formatCode="General" sourceLinked="1"/>
        <c:majorTickMark val="none"/>
        <c:minorTickMark val="none"/>
        <c:tickLblPos val="nextTo"/>
        <c:spPr>
          <a:ln>
            <a:solidFill>
              <a:srgbClr val="000000"/>
            </a:solidFill>
          </a:ln>
        </c:spPr>
        <c:txPr>
          <a:bodyPr/>
          <a:lstStyle/>
          <a:p>
            <a:pPr>
              <a:defRPr sz="1200"/>
            </a:pPr>
            <a:endParaRPr lang="ja-JP"/>
          </a:p>
        </c:txPr>
        <c:crossAx val="98906112"/>
        <c:crossesAt val="1"/>
        <c:crossBetween val="between"/>
        <c:minorUnit val="40"/>
      </c:valAx>
      <c:spPr>
        <a:ln>
          <a:solidFill>
            <a:schemeClr val="tx1"/>
          </a:solidFill>
        </a:ln>
      </c:spPr>
    </c:plotArea>
    <c:legend>
      <c:legendPos val="r"/>
      <c:layout>
        <c:manualLayout>
          <c:xMode val="edge"/>
          <c:yMode val="edge"/>
          <c:x val="0.76355900146212563"/>
          <c:y val="0.23236374864906589"/>
          <c:w val="0.14888694468746963"/>
          <c:h val="0.12639346877220459"/>
        </c:manualLayout>
      </c:layout>
      <c:overlay val="0"/>
      <c:spPr>
        <a:solidFill>
          <a:schemeClr val="bg1"/>
        </a:solidFill>
        <a:ln>
          <a:solidFill>
            <a:schemeClr val="tx1"/>
          </a:solidFill>
        </a:ln>
      </c:spPr>
      <c:txPr>
        <a:bodyPr/>
        <a:lstStyle/>
        <a:p>
          <a:pPr>
            <a:defRPr sz="1000"/>
          </a:pPr>
          <a:endParaRPr lang="ja-JP"/>
        </a:p>
      </c:txPr>
    </c:legend>
    <c:plotVisOnly val="1"/>
    <c:dispBlanksAs val="gap"/>
    <c:showDLblsOverMax val="0"/>
  </c:chart>
  <c:spPr>
    <a:ln>
      <a:noFill/>
    </a:ln>
  </c:spPr>
  <c:txPr>
    <a:bodyPr/>
    <a:lstStyle/>
    <a:p>
      <a:pPr>
        <a:defRPr>
          <a:latin typeface="ＭＳ Ｐ明朝" pitchFamily="18" charset="-128"/>
          <a:ea typeface="ＭＳ Ｐ明朝" pitchFamily="18" charset="-128"/>
        </a:defRPr>
      </a:pPr>
      <a:endParaRPr lang="ja-JP"/>
    </a:p>
  </c:txPr>
  <c:externalData r:id="rId1">
    <c:autoUpdate val="0"/>
  </c:externalData>
  <c:userShapes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25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r>
              <a:rPr lang="ja-JP" altLang="en-US" sz="1700"/>
              <a:t>大豆粕シカゴ定期の推移</a:t>
            </a:r>
          </a:p>
        </c:rich>
      </c:tx>
      <c:layout>
        <c:manualLayout>
          <c:xMode val="edge"/>
          <c:yMode val="edge"/>
          <c:x val="0.34176805677068139"/>
          <c:y val="6.3546773634427772E-3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9.3210251448944306E-2"/>
          <c:y val="0.14684342554525817"/>
          <c:w val="0.88784445459675898"/>
          <c:h val="0.65033853622279514"/>
        </c:manualLayout>
      </c:layout>
      <c:lineChart>
        <c:grouping val="standard"/>
        <c:varyColors val="0"/>
        <c:ser>
          <c:idx val="1"/>
          <c:order val="0"/>
          <c:spPr>
            <a:ln w="12700">
              <a:solidFill>
                <a:schemeClr val="tx1"/>
              </a:solidFill>
              <a:prstDash val="solid"/>
            </a:ln>
          </c:spPr>
          <c:marker>
            <c:symbol val="diamond"/>
            <c:size val="5"/>
            <c:spPr>
              <a:solidFill>
                <a:schemeClr val="tx1"/>
              </a:solidFill>
              <a:ln>
                <a:solidFill>
                  <a:schemeClr val="tx1"/>
                </a:solidFill>
                <a:prstDash val="solid"/>
              </a:ln>
            </c:spPr>
          </c:marker>
          <c:cat>
            <c:numRef>
              <c:f>チャート!$AP$233:$AP$257</c:f>
              <c:numCache>
                <c:formatCode>m"月"d"日"</c:formatCode>
                <c:ptCount val="25"/>
                <c:pt idx="0">
                  <c:v>41810</c:v>
                </c:pt>
                <c:pt idx="1">
                  <c:v>41817</c:v>
                </c:pt>
                <c:pt idx="2">
                  <c:v>41823</c:v>
                </c:pt>
                <c:pt idx="3">
                  <c:v>41831</c:v>
                </c:pt>
                <c:pt idx="4">
                  <c:v>41838</c:v>
                </c:pt>
                <c:pt idx="5">
                  <c:v>41845</c:v>
                </c:pt>
                <c:pt idx="6">
                  <c:v>41852</c:v>
                </c:pt>
                <c:pt idx="7">
                  <c:v>41859</c:v>
                </c:pt>
                <c:pt idx="8">
                  <c:v>41866</c:v>
                </c:pt>
                <c:pt idx="9">
                  <c:v>41873</c:v>
                </c:pt>
                <c:pt idx="10">
                  <c:v>41880</c:v>
                </c:pt>
                <c:pt idx="11">
                  <c:v>41887</c:v>
                </c:pt>
                <c:pt idx="12">
                  <c:v>41894</c:v>
                </c:pt>
                <c:pt idx="13">
                  <c:v>41901</c:v>
                </c:pt>
                <c:pt idx="14">
                  <c:v>41908</c:v>
                </c:pt>
                <c:pt idx="15">
                  <c:v>41915</c:v>
                </c:pt>
                <c:pt idx="16">
                  <c:v>41922</c:v>
                </c:pt>
                <c:pt idx="17">
                  <c:v>41929</c:v>
                </c:pt>
                <c:pt idx="18">
                  <c:v>41936</c:v>
                </c:pt>
                <c:pt idx="19">
                  <c:v>41943</c:v>
                </c:pt>
                <c:pt idx="20">
                  <c:v>41950</c:v>
                </c:pt>
                <c:pt idx="21">
                  <c:v>41957</c:v>
                </c:pt>
                <c:pt idx="22">
                  <c:v>41964</c:v>
                </c:pt>
                <c:pt idx="23">
                  <c:v>41971</c:v>
                </c:pt>
                <c:pt idx="24">
                  <c:v>41978</c:v>
                </c:pt>
              </c:numCache>
            </c:numRef>
          </c:cat>
          <c:val>
            <c:numRef>
              <c:f>チャート!$AQ$233:$AQ$257</c:f>
              <c:numCache>
                <c:formatCode>#,##0.00_);[Red]\(#,##0.00\)</c:formatCode>
                <c:ptCount val="25"/>
                <c:pt idx="0">
                  <c:v>506.17616000000004</c:v>
                </c:pt>
                <c:pt idx="1">
                  <c:v>517.86054000000001</c:v>
                </c:pt>
                <c:pt idx="2">
                  <c:v>492.72810000000004</c:v>
                </c:pt>
                <c:pt idx="3">
                  <c:v>464.95014000000003</c:v>
                </c:pt>
                <c:pt idx="4">
                  <c:v>419.20469000000003</c:v>
                </c:pt>
                <c:pt idx="5">
                  <c:v>438.71540000000005</c:v>
                </c:pt>
                <c:pt idx="6">
                  <c:v>427.14125000000001</c:v>
                </c:pt>
                <c:pt idx="7">
                  <c:v>438.16425000000004</c:v>
                </c:pt>
                <c:pt idx="8">
                  <c:v>428.02309000000002</c:v>
                </c:pt>
                <c:pt idx="9">
                  <c:v>477.62659000000002</c:v>
                </c:pt>
                <c:pt idx="10">
                  <c:v>484.46085000000005</c:v>
                </c:pt>
                <c:pt idx="11">
                  <c:v>480.71303000000006</c:v>
                </c:pt>
                <c:pt idx="12">
                  <c:v>449.73840000000001</c:v>
                </c:pt>
                <c:pt idx="13">
                  <c:v>357.25543000000005</c:v>
                </c:pt>
                <c:pt idx="14">
                  <c:v>338.62655999999998</c:v>
                </c:pt>
                <c:pt idx="15">
                  <c:v>339.50839999999999</c:v>
                </c:pt>
                <c:pt idx="16">
                  <c:v>378.52981999999997</c:v>
                </c:pt>
                <c:pt idx="17">
                  <c:v>364.31015000000002</c:v>
                </c:pt>
                <c:pt idx="18">
                  <c:v>386.02546000000001</c:v>
                </c:pt>
                <c:pt idx="19">
                  <c:v>428.79470000000003</c:v>
                </c:pt>
                <c:pt idx="20">
                  <c:v>430.33792</c:v>
                </c:pt>
                <c:pt idx="21">
                  <c:v>418.76377000000002</c:v>
                </c:pt>
                <c:pt idx="22">
                  <c:v>417.11032</c:v>
                </c:pt>
                <c:pt idx="23">
                  <c:v>431.10953000000006</c:v>
                </c:pt>
                <c:pt idx="24">
                  <c:v>434.52665999999999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00149888"/>
        <c:axId val="100156160"/>
      </c:lineChart>
      <c:catAx>
        <c:axId val="100149888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-2700000" vert="horz"/>
          <a:lstStyle/>
          <a:p>
            <a:pPr>
              <a:defRPr sz="11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100156160"/>
        <c:crosses val="autoZero"/>
        <c:auto val="0"/>
        <c:lblAlgn val="ctr"/>
        <c:lblOffset val="100"/>
        <c:tickLblSkip val="2"/>
        <c:tickMarkSkip val="1"/>
        <c:noMultiLvlLbl val="0"/>
      </c:catAx>
      <c:valAx>
        <c:axId val="100156160"/>
        <c:scaling>
          <c:orientation val="minMax"/>
          <c:max val="520"/>
          <c:min val="320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ysDash"/>
            </a:ln>
          </c:spPr>
        </c:majorGridlines>
        <c:title>
          <c:tx>
            <c:rich>
              <a:bodyPr rot="0" vert="horz"/>
              <a:lstStyle/>
              <a:p>
                <a:pPr algn="ctr">
                  <a:defRPr sz="800" b="0" i="0" u="none" strike="noStrike" baseline="0">
                    <a:solidFill>
                      <a:srgbClr val="000000"/>
                    </a:solidFill>
                    <a:latin typeface="ＭＳ Ｐゴシック"/>
                    <a:ea typeface="ＭＳ Ｐゴシック"/>
                    <a:cs typeface="ＭＳ Ｐゴシック"/>
                  </a:defRPr>
                </a:pPr>
                <a:r>
                  <a:rPr lang="ja-JP" altLang="en-US" sz="900" b="0" i="0" u="none" strike="noStrike" baseline="0">
                    <a:solidFill>
                      <a:srgbClr val="000000"/>
                    </a:solidFill>
                    <a:latin typeface="ＭＳ Ｐ明朝"/>
                    <a:ea typeface="ＭＳ Ｐ明朝"/>
                  </a:rPr>
                  <a:t>ドル/トン</a:t>
                </a:r>
              </a:p>
            </c:rich>
          </c:tx>
          <c:layout>
            <c:manualLayout>
              <c:xMode val="edge"/>
              <c:yMode val="edge"/>
              <c:x val="4.2416489747655266E-2"/>
              <c:y val="3.3130262386926408E-2"/>
            </c:manualLayout>
          </c:layout>
          <c:overlay val="0"/>
          <c:spPr>
            <a:noFill/>
            <a:ln w="25400">
              <a:noFill/>
            </a:ln>
          </c:spPr>
        </c:title>
        <c:numFmt formatCode="0" sourceLinked="0"/>
        <c:majorTickMark val="in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100149888"/>
        <c:crosses val="autoZero"/>
        <c:crossBetween val="between"/>
        <c:majorUnit val="50"/>
        <c:minorUnit val="20"/>
      </c:valAx>
      <c:spPr>
        <a:solidFill>
          <a:srgbClr val="FFFFFF"/>
        </a:solidFill>
        <a:ln w="12700">
          <a:solidFill>
            <a:schemeClr val="tx1"/>
          </a:solidFill>
          <a:prstDash val="solid"/>
        </a:ln>
      </c:spPr>
    </c:plotArea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1200" b="0" i="0" u="none" strike="noStrike" baseline="0">
          <a:solidFill>
            <a:srgbClr val="000000"/>
          </a:solidFill>
          <a:latin typeface="ＭＳ Ｐゴシック"/>
          <a:ea typeface="ＭＳ Ｐゴシック"/>
          <a:cs typeface="ＭＳ Ｐゴシック"/>
        </a:defRPr>
      </a:pPr>
      <a:endParaRPr lang="ja-JP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 algn="ctr">
              <a:defRPr sz="17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r>
              <a:rPr lang="ja-JP" altLang="en-US" sz="1700"/>
              <a:t>ドル円為替相場（東京市場対顧客電信相場）</a:t>
            </a:r>
          </a:p>
        </c:rich>
      </c:tx>
      <c:layout>
        <c:manualLayout>
          <c:xMode val="edge"/>
          <c:yMode val="edge"/>
          <c:x val="0.19617824024016384"/>
          <c:y val="2.9015918464737361E-2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0.11703441754756423"/>
          <c:y val="0.18065378191362444"/>
          <c:w val="0.85845004430988936"/>
          <c:h val="0.60710570269625386"/>
        </c:manualLayout>
      </c:layout>
      <c:lineChart>
        <c:grouping val="standard"/>
        <c:varyColors val="0"/>
        <c:ser>
          <c:idx val="0"/>
          <c:order val="0"/>
          <c:spPr>
            <a:ln w="12700">
              <a:solidFill>
                <a:schemeClr val="tx1"/>
              </a:solidFill>
            </a:ln>
          </c:spPr>
          <c:marker>
            <c:symbol val="diamond"/>
            <c:size val="5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cat>
            <c:numRef>
              <c:f>チャート!$AC$233:$AC$257</c:f>
              <c:numCache>
                <c:formatCode>m"月"d"日"</c:formatCode>
                <c:ptCount val="25"/>
                <c:pt idx="0">
                  <c:v>41810</c:v>
                </c:pt>
                <c:pt idx="1">
                  <c:v>41817</c:v>
                </c:pt>
                <c:pt idx="2">
                  <c:v>41823</c:v>
                </c:pt>
                <c:pt idx="3">
                  <c:v>41831</c:v>
                </c:pt>
                <c:pt idx="4">
                  <c:v>41838</c:v>
                </c:pt>
                <c:pt idx="5">
                  <c:v>41845</c:v>
                </c:pt>
                <c:pt idx="6">
                  <c:v>41852</c:v>
                </c:pt>
                <c:pt idx="7">
                  <c:v>41859</c:v>
                </c:pt>
                <c:pt idx="8">
                  <c:v>41866</c:v>
                </c:pt>
                <c:pt idx="9">
                  <c:v>41873</c:v>
                </c:pt>
                <c:pt idx="10">
                  <c:v>41880</c:v>
                </c:pt>
                <c:pt idx="11">
                  <c:v>41887</c:v>
                </c:pt>
                <c:pt idx="12">
                  <c:v>41894</c:v>
                </c:pt>
                <c:pt idx="13">
                  <c:v>41901</c:v>
                </c:pt>
                <c:pt idx="14">
                  <c:v>41908</c:v>
                </c:pt>
                <c:pt idx="15">
                  <c:v>41915</c:v>
                </c:pt>
                <c:pt idx="16">
                  <c:v>41922</c:v>
                </c:pt>
                <c:pt idx="17">
                  <c:v>41929</c:v>
                </c:pt>
                <c:pt idx="18">
                  <c:v>41936</c:v>
                </c:pt>
                <c:pt idx="19">
                  <c:v>41943</c:v>
                </c:pt>
                <c:pt idx="20">
                  <c:v>41950</c:v>
                </c:pt>
                <c:pt idx="21">
                  <c:v>41957</c:v>
                </c:pt>
                <c:pt idx="22">
                  <c:v>41964</c:v>
                </c:pt>
                <c:pt idx="23">
                  <c:v>41971</c:v>
                </c:pt>
                <c:pt idx="24">
                  <c:v>41978</c:v>
                </c:pt>
              </c:numCache>
            </c:numRef>
          </c:cat>
          <c:val>
            <c:numRef>
              <c:f>チャート!$AD$233:$AD$257</c:f>
              <c:numCache>
                <c:formatCode>General</c:formatCode>
                <c:ptCount val="25"/>
                <c:pt idx="0">
                  <c:v>101.92</c:v>
                </c:pt>
                <c:pt idx="1">
                  <c:v>101.55</c:v>
                </c:pt>
                <c:pt idx="2">
                  <c:v>102.15</c:v>
                </c:pt>
                <c:pt idx="3">
                  <c:v>101.37</c:v>
                </c:pt>
                <c:pt idx="4">
                  <c:v>101.26</c:v>
                </c:pt>
                <c:pt idx="5">
                  <c:v>101.8</c:v>
                </c:pt>
                <c:pt idx="6">
                  <c:v>102.82</c:v>
                </c:pt>
                <c:pt idx="7">
                  <c:v>102.13</c:v>
                </c:pt>
                <c:pt idx="8">
                  <c:v>102.51</c:v>
                </c:pt>
                <c:pt idx="9">
                  <c:v>103.96</c:v>
                </c:pt>
                <c:pt idx="10">
                  <c:v>103.74</c:v>
                </c:pt>
                <c:pt idx="11">
                  <c:v>105.57</c:v>
                </c:pt>
                <c:pt idx="12">
                  <c:v>107.22</c:v>
                </c:pt>
                <c:pt idx="13">
                  <c:v>108.86</c:v>
                </c:pt>
                <c:pt idx="14">
                  <c:v>108.53</c:v>
                </c:pt>
                <c:pt idx="15">
                  <c:v>108.77</c:v>
                </c:pt>
                <c:pt idx="16">
                  <c:v>107.8</c:v>
                </c:pt>
                <c:pt idx="17">
                  <c:v>106.39</c:v>
                </c:pt>
                <c:pt idx="18">
                  <c:v>108.03</c:v>
                </c:pt>
                <c:pt idx="19">
                  <c:v>109.34</c:v>
                </c:pt>
                <c:pt idx="20">
                  <c:v>115.06</c:v>
                </c:pt>
                <c:pt idx="21">
                  <c:v>116.15</c:v>
                </c:pt>
                <c:pt idx="22">
                  <c:v>118.09</c:v>
                </c:pt>
                <c:pt idx="23">
                  <c:v>118.23</c:v>
                </c:pt>
                <c:pt idx="24">
                  <c:v>119.83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02670720"/>
        <c:axId val="102672640"/>
      </c:lineChart>
      <c:catAx>
        <c:axId val="102670720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-2700000" vert="horz"/>
          <a:lstStyle/>
          <a:p>
            <a:pPr>
              <a:defRPr sz="11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102672640"/>
        <c:crosses val="autoZero"/>
        <c:auto val="0"/>
        <c:lblAlgn val="ctr"/>
        <c:lblOffset val="100"/>
        <c:tickLblSkip val="2"/>
        <c:tickMarkSkip val="1"/>
        <c:noMultiLvlLbl val="0"/>
      </c:catAx>
      <c:valAx>
        <c:axId val="102672640"/>
        <c:scaling>
          <c:orientation val="minMax"/>
          <c:max val="120"/>
          <c:min val="100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ysDash"/>
            </a:ln>
          </c:spPr>
        </c:majorGridlines>
        <c:title>
          <c:tx>
            <c:rich>
              <a:bodyPr rot="0" vert="horz"/>
              <a:lstStyle/>
              <a:p>
                <a:pPr algn="ctr">
                  <a:defRPr sz="800" b="0" i="0" u="none" strike="noStrike" baseline="0">
                    <a:solidFill>
                      <a:srgbClr val="000000"/>
                    </a:solidFill>
                    <a:latin typeface="ＭＳ Ｐゴシック"/>
                    <a:ea typeface="ＭＳ Ｐゴシック"/>
                    <a:cs typeface="ＭＳ Ｐゴシック"/>
                  </a:defRPr>
                </a:pPr>
                <a:r>
                  <a:rPr lang="ja-JP" altLang="en-US" sz="900" b="0" i="0" u="none" strike="noStrike" baseline="0">
                    <a:solidFill>
                      <a:srgbClr val="000000"/>
                    </a:solidFill>
                    <a:latin typeface="ＭＳ Ｐ明朝"/>
                    <a:ea typeface="ＭＳ Ｐ明朝"/>
                  </a:rPr>
                  <a:t>円/ドル</a:t>
                </a:r>
              </a:p>
            </c:rich>
          </c:tx>
          <c:layout>
            <c:manualLayout>
              <c:xMode val="edge"/>
              <c:yMode val="edge"/>
              <c:x val="6.1529772429496393E-2"/>
              <c:y val="6.7359307359307355E-2"/>
            </c:manualLayout>
          </c:layout>
          <c:overlay val="0"/>
          <c:spPr>
            <a:noFill/>
            <a:ln w="25400">
              <a:noFill/>
            </a:ln>
          </c:spPr>
        </c:title>
        <c:numFmt formatCode="0" sourceLinked="0"/>
        <c:majorTickMark val="in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102670720"/>
        <c:crosses val="autoZero"/>
        <c:crossBetween val="between"/>
        <c:majorUnit val="4"/>
      </c:valAx>
      <c:spPr>
        <a:solidFill>
          <a:srgbClr val="FFFFFF"/>
        </a:solidFill>
        <a:ln w="12700">
          <a:solidFill>
            <a:schemeClr val="tx1"/>
          </a:solidFill>
          <a:prstDash val="solid"/>
        </a:ln>
      </c:spPr>
    </c:plotArea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1200" b="0" i="0" u="none" strike="noStrike" baseline="0">
          <a:solidFill>
            <a:srgbClr val="000000"/>
          </a:solidFill>
          <a:latin typeface="ＭＳ Ｐゴシック"/>
          <a:ea typeface="ＭＳ Ｐゴシック"/>
          <a:cs typeface="ＭＳ Ｐゴシック"/>
        </a:defRPr>
      </a:pPr>
      <a:endParaRPr lang="ja-JP"/>
    </a:p>
  </c:txPr>
  <c:externalData r:id="rId1">
    <c:autoUpdate val="0"/>
  </c:externalData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0.36116</cdr:x>
      <cdr:y>0.01946</cdr:y>
    </cdr:from>
    <cdr:to>
      <cdr:x>0.73654</cdr:x>
      <cdr:y>0.12137</cdr:y>
    </cdr:to>
    <cdr:sp macro="" textlink="">
      <cdr:nvSpPr>
        <cdr:cNvPr id="2" name="テキスト ボックス 1"/>
        <cdr:cNvSpPr txBox="1"/>
      </cdr:nvSpPr>
      <cdr:spPr>
        <a:xfrm xmlns:a="http://schemas.openxmlformats.org/drawingml/2006/main">
          <a:off x="2019301" y="63029"/>
          <a:ext cx="2098798" cy="330021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 anchor="ctr"/>
        <a:lstStyle xmlns:a="http://schemas.openxmlformats.org/drawingml/2006/main"/>
        <a:p xmlns:a="http://schemas.openxmlformats.org/drawingml/2006/main">
          <a:pPr algn="ctr"/>
          <a:r>
            <a:rPr lang="ja-JP" altLang="en-US" sz="1700">
              <a:latin typeface="ＭＳ Ｐ明朝" pitchFamily="18" charset="-128"/>
              <a:ea typeface="ＭＳ Ｐ明朝" pitchFamily="18" charset="-128"/>
            </a:rPr>
            <a:t>とうもろこしシカゴ定期の推移</a:t>
          </a:r>
        </a:p>
      </cdr:txBody>
    </cdr:sp>
  </cdr:relSizeAnchor>
  <cdr:relSizeAnchor xmlns:cdr="http://schemas.openxmlformats.org/drawingml/2006/chartDrawing">
    <cdr:from>
      <cdr:x>0.02293</cdr:x>
      <cdr:y>0.03582</cdr:y>
    </cdr:from>
    <cdr:to>
      <cdr:x>0.15966</cdr:x>
      <cdr:y>0.0983</cdr:y>
    </cdr:to>
    <cdr:sp macro="" textlink="">
      <cdr:nvSpPr>
        <cdr:cNvPr id="3" name="テキスト ボックス 2"/>
        <cdr:cNvSpPr txBox="1"/>
      </cdr:nvSpPr>
      <cdr:spPr>
        <a:xfrm xmlns:a="http://schemas.openxmlformats.org/drawingml/2006/main">
          <a:off x="128193" y="114300"/>
          <a:ext cx="764494" cy="19935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/>
        <a:lstStyle xmlns:a="http://schemas.openxmlformats.org/drawingml/2006/main"/>
        <a:p xmlns:a="http://schemas.openxmlformats.org/drawingml/2006/main">
          <a:pPr algn="ctr"/>
          <a:r>
            <a:rPr lang="ja-JP" altLang="en-US" sz="900">
              <a:latin typeface="ＭＳ Ｐ明朝" pitchFamily="18" charset="-128"/>
              <a:ea typeface="ＭＳ Ｐ明朝" pitchFamily="18" charset="-128"/>
            </a:rPr>
            <a:t>セント</a:t>
          </a:r>
          <a:r>
            <a:rPr lang="en-US" altLang="ja-JP" sz="900">
              <a:latin typeface="ＭＳ Ｐ明朝" pitchFamily="18" charset="-128"/>
              <a:ea typeface="ＭＳ Ｐ明朝" pitchFamily="18" charset="-128"/>
            </a:rPr>
            <a:t>/</a:t>
          </a:r>
          <a:r>
            <a:rPr lang="ja-JP" altLang="en-US" sz="900">
              <a:latin typeface="ＭＳ Ｐ明朝" pitchFamily="18" charset="-128"/>
              <a:ea typeface="ＭＳ Ｐ明朝" pitchFamily="18" charset="-128"/>
            </a:rPr>
            <a:t>ブッシェル</a:t>
          </a:r>
        </a:p>
      </cdr:txBody>
    </cdr:sp>
  </cdr:relSizeAnchor>
</c:userShape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ホクレン農業協同組合連合会</Company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M4162B</dc:creator>
  <cp:lastModifiedBy>M4162B</cp:lastModifiedBy>
  <cp:revision>4</cp:revision>
  <cp:lastPrinted>2014-12-12T05:19:00Z</cp:lastPrinted>
  <dcterms:created xsi:type="dcterms:W3CDTF">2014-12-12T04:55:00Z</dcterms:created>
  <dcterms:modified xsi:type="dcterms:W3CDTF">2014-12-12T06:27:00Z</dcterms:modified>
</cp:coreProperties>
</file>