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2" w:rsidRDefault="00713815" w:rsidP="0071381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A18AB15" wp14:editId="7CD5202E">
            <wp:extent cx="5411972" cy="3009014"/>
            <wp:effectExtent l="0" t="0" r="0" b="127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3815" w:rsidRDefault="00713815" w:rsidP="00713815">
      <w:pPr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6F34C93" wp14:editId="1C6D03A5">
            <wp:extent cx="5470635" cy="3184635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13815" w:rsidRDefault="00713815" w:rsidP="0071381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8FB31E3" wp14:editId="27B58E89">
            <wp:extent cx="5433237" cy="3094074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13815" w:rsidSect="007138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5"/>
    <w:rsid w:val="00016CD7"/>
    <w:rsid w:val="00026A60"/>
    <w:rsid w:val="00030804"/>
    <w:rsid w:val="0003161F"/>
    <w:rsid w:val="00032FB9"/>
    <w:rsid w:val="000453CB"/>
    <w:rsid w:val="0005109E"/>
    <w:rsid w:val="000529C5"/>
    <w:rsid w:val="000602D0"/>
    <w:rsid w:val="0006689D"/>
    <w:rsid w:val="00067BE0"/>
    <w:rsid w:val="00072086"/>
    <w:rsid w:val="00076F6C"/>
    <w:rsid w:val="000A3B76"/>
    <w:rsid w:val="000C2661"/>
    <w:rsid w:val="000C459D"/>
    <w:rsid w:val="000C683B"/>
    <w:rsid w:val="000D419F"/>
    <w:rsid w:val="000D6357"/>
    <w:rsid w:val="000E0CED"/>
    <w:rsid w:val="000F3E0B"/>
    <w:rsid w:val="000F7FDC"/>
    <w:rsid w:val="001167DB"/>
    <w:rsid w:val="00133BC1"/>
    <w:rsid w:val="00137882"/>
    <w:rsid w:val="00153404"/>
    <w:rsid w:val="00157C97"/>
    <w:rsid w:val="00161D05"/>
    <w:rsid w:val="00173D92"/>
    <w:rsid w:val="001749EB"/>
    <w:rsid w:val="001810E7"/>
    <w:rsid w:val="00186776"/>
    <w:rsid w:val="00193789"/>
    <w:rsid w:val="00194284"/>
    <w:rsid w:val="001A00CE"/>
    <w:rsid w:val="001B2219"/>
    <w:rsid w:val="001B676B"/>
    <w:rsid w:val="001C5D87"/>
    <w:rsid w:val="001D2AB8"/>
    <w:rsid w:val="001E7457"/>
    <w:rsid w:val="002021A0"/>
    <w:rsid w:val="00203958"/>
    <w:rsid w:val="00222A37"/>
    <w:rsid w:val="0022352C"/>
    <w:rsid w:val="00236B32"/>
    <w:rsid w:val="002710DA"/>
    <w:rsid w:val="002715B1"/>
    <w:rsid w:val="00276A24"/>
    <w:rsid w:val="00282A7E"/>
    <w:rsid w:val="0028726A"/>
    <w:rsid w:val="002A6043"/>
    <w:rsid w:val="002C159D"/>
    <w:rsid w:val="002C5D08"/>
    <w:rsid w:val="002D679E"/>
    <w:rsid w:val="002D799D"/>
    <w:rsid w:val="002E0546"/>
    <w:rsid w:val="00310EE2"/>
    <w:rsid w:val="003123E6"/>
    <w:rsid w:val="00313245"/>
    <w:rsid w:val="00313CE8"/>
    <w:rsid w:val="00321422"/>
    <w:rsid w:val="00331268"/>
    <w:rsid w:val="0033565A"/>
    <w:rsid w:val="00356419"/>
    <w:rsid w:val="00380EEB"/>
    <w:rsid w:val="003A05DA"/>
    <w:rsid w:val="003A138A"/>
    <w:rsid w:val="003B79C1"/>
    <w:rsid w:val="003C0D24"/>
    <w:rsid w:val="003C7681"/>
    <w:rsid w:val="003C7ED7"/>
    <w:rsid w:val="003D08E4"/>
    <w:rsid w:val="003D2ECC"/>
    <w:rsid w:val="003D34D0"/>
    <w:rsid w:val="003F1582"/>
    <w:rsid w:val="003F369A"/>
    <w:rsid w:val="00403D96"/>
    <w:rsid w:val="0041065B"/>
    <w:rsid w:val="00414E25"/>
    <w:rsid w:val="00415F38"/>
    <w:rsid w:val="00421E85"/>
    <w:rsid w:val="00434E93"/>
    <w:rsid w:val="00436D9A"/>
    <w:rsid w:val="00440F95"/>
    <w:rsid w:val="00444CB4"/>
    <w:rsid w:val="00453825"/>
    <w:rsid w:val="004570FC"/>
    <w:rsid w:val="0046187D"/>
    <w:rsid w:val="004639B2"/>
    <w:rsid w:val="00466993"/>
    <w:rsid w:val="00481561"/>
    <w:rsid w:val="0048461B"/>
    <w:rsid w:val="004871F0"/>
    <w:rsid w:val="00490650"/>
    <w:rsid w:val="00496229"/>
    <w:rsid w:val="004A3AB6"/>
    <w:rsid w:val="004B2CB6"/>
    <w:rsid w:val="004C77ED"/>
    <w:rsid w:val="004D667E"/>
    <w:rsid w:val="004E4FED"/>
    <w:rsid w:val="0051269A"/>
    <w:rsid w:val="00524886"/>
    <w:rsid w:val="0053114B"/>
    <w:rsid w:val="005324FC"/>
    <w:rsid w:val="00540353"/>
    <w:rsid w:val="0056254C"/>
    <w:rsid w:val="00563D49"/>
    <w:rsid w:val="00594BD8"/>
    <w:rsid w:val="005D3026"/>
    <w:rsid w:val="005D5B02"/>
    <w:rsid w:val="005E0768"/>
    <w:rsid w:val="005E081B"/>
    <w:rsid w:val="006071FA"/>
    <w:rsid w:val="00615A05"/>
    <w:rsid w:val="006258B2"/>
    <w:rsid w:val="006339BD"/>
    <w:rsid w:val="00641E90"/>
    <w:rsid w:val="00645934"/>
    <w:rsid w:val="006473BB"/>
    <w:rsid w:val="0064747F"/>
    <w:rsid w:val="00666C85"/>
    <w:rsid w:val="00676551"/>
    <w:rsid w:val="006814B3"/>
    <w:rsid w:val="0069070B"/>
    <w:rsid w:val="006A6E73"/>
    <w:rsid w:val="006B2B0A"/>
    <w:rsid w:val="006C7005"/>
    <w:rsid w:val="006D712A"/>
    <w:rsid w:val="006E0735"/>
    <w:rsid w:val="006F123B"/>
    <w:rsid w:val="006F7CBA"/>
    <w:rsid w:val="007029B3"/>
    <w:rsid w:val="00711D92"/>
    <w:rsid w:val="00713815"/>
    <w:rsid w:val="00740DEA"/>
    <w:rsid w:val="00751C16"/>
    <w:rsid w:val="00756CAE"/>
    <w:rsid w:val="00760CEE"/>
    <w:rsid w:val="00764102"/>
    <w:rsid w:val="00771C01"/>
    <w:rsid w:val="00773367"/>
    <w:rsid w:val="00774C74"/>
    <w:rsid w:val="0078788F"/>
    <w:rsid w:val="007933CF"/>
    <w:rsid w:val="00794CA5"/>
    <w:rsid w:val="007A283E"/>
    <w:rsid w:val="007A29F4"/>
    <w:rsid w:val="007B004C"/>
    <w:rsid w:val="007C3C70"/>
    <w:rsid w:val="007C44E9"/>
    <w:rsid w:val="007C7DAB"/>
    <w:rsid w:val="008029D9"/>
    <w:rsid w:val="00821788"/>
    <w:rsid w:val="00857545"/>
    <w:rsid w:val="00873EEF"/>
    <w:rsid w:val="008772F2"/>
    <w:rsid w:val="00892F54"/>
    <w:rsid w:val="00893261"/>
    <w:rsid w:val="008A697D"/>
    <w:rsid w:val="008B4877"/>
    <w:rsid w:val="008C1A10"/>
    <w:rsid w:val="008D3DA9"/>
    <w:rsid w:val="008D765D"/>
    <w:rsid w:val="008E2C62"/>
    <w:rsid w:val="008E3238"/>
    <w:rsid w:val="008E4E02"/>
    <w:rsid w:val="008E64AF"/>
    <w:rsid w:val="008F0C15"/>
    <w:rsid w:val="008F7A7A"/>
    <w:rsid w:val="00912681"/>
    <w:rsid w:val="0091700E"/>
    <w:rsid w:val="00925D6D"/>
    <w:rsid w:val="009315C0"/>
    <w:rsid w:val="0093533B"/>
    <w:rsid w:val="00940492"/>
    <w:rsid w:val="00972397"/>
    <w:rsid w:val="009756EB"/>
    <w:rsid w:val="00984692"/>
    <w:rsid w:val="00990CE9"/>
    <w:rsid w:val="009931DE"/>
    <w:rsid w:val="00993E4F"/>
    <w:rsid w:val="009954F0"/>
    <w:rsid w:val="009B51C6"/>
    <w:rsid w:val="009D1686"/>
    <w:rsid w:val="009D1940"/>
    <w:rsid w:val="009D4611"/>
    <w:rsid w:val="009F5DE0"/>
    <w:rsid w:val="009F706B"/>
    <w:rsid w:val="00A04349"/>
    <w:rsid w:val="00A113F2"/>
    <w:rsid w:val="00A14AF8"/>
    <w:rsid w:val="00A301FB"/>
    <w:rsid w:val="00A41443"/>
    <w:rsid w:val="00A70F3A"/>
    <w:rsid w:val="00A819C8"/>
    <w:rsid w:val="00A83797"/>
    <w:rsid w:val="00A83A4E"/>
    <w:rsid w:val="00A903E3"/>
    <w:rsid w:val="00A92EF1"/>
    <w:rsid w:val="00A95226"/>
    <w:rsid w:val="00AB328E"/>
    <w:rsid w:val="00AC0665"/>
    <w:rsid w:val="00AC26A2"/>
    <w:rsid w:val="00AD6912"/>
    <w:rsid w:val="00B07FF1"/>
    <w:rsid w:val="00B10477"/>
    <w:rsid w:val="00B10A60"/>
    <w:rsid w:val="00B14B87"/>
    <w:rsid w:val="00B16D7F"/>
    <w:rsid w:val="00B42989"/>
    <w:rsid w:val="00B557EC"/>
    <w:rsid w:val="00B559B7"/>
    <w:rsid w:val="00B55F56"/>
    <w:rsid w:val="00B6410F"/>
    <w:rsid w:val="00B659EB"/>
    <w:rsid w:val="00B70B3D"/>
    <w:rsid w:val="00B93635"/>
    <w:rsid w:val="00BA602E"/>
    <w:rsid w:val="00BC5894"/>
    <w:rsid w:val="00BD4745"/>
    <w:rsid w:val="00BD4C74"/>
    <w:rsid w:val="00BD74CB"/>
    <w:rsid w:val="00BF5C56"/>
    <w:rsid w:val="00BF7812"/>
    <w:rsid w:val="00BF7BF6"/>
    <w:rsid w:val="00C03F4F"/>
    <w:rsid w:val="00C12975"/>
    <w:rsid w:val="00C3195F"/>
    <w:rsid w:val="00C350D8"/>
    <w:rsid w:val="00C40E1B"/>
    <w:rsid w:val="00C432B1"/>
    <w:rsid w:val="00C465F3"/>
    <w:rsid w:val="00C47B08"/>
    <w:rsid w:val="00C54647"/>
    <w:rsid w:val="00C8386E"/>
    <w:rsid w:val="00C871FB"/>
    <w:rsid w:val="00C9458B"/>
    <w:rsid w:val="00CB4B15"/>
    <w:rsid w:val="00CB7B5A"/>
    <w:rsid w:val="00CC2301"/>
    <w:rsid w:val="00CD37B1"/>
    <w:rsid w:val="00CE5F0E"/>
    <w:rsid w:val="00CE6AD4"/>
    <w:rsid w:val="00D0088D"/>
    <w:rsid w:val="00D164C8"/>
    <w:rsid w:val="00D24F2D"/>
    <w:rsid w:val="00D33F3E"/>
    <w:rsid w:val="00D45A0C"/>
    <w:rsid w:val="00D53680"/>
    <w:rsid w:val="00D54664"/>
    <w:rsid w:val="00D61DBC"/>
    <w:rsid w:val="00D62711"/>
    <w:rsid w:val="00D729DD"/>
    <w:rsid w:val="00D73B0A"/>
    <w:rsid w:val="00D808DF"/>
    <w:rsid w:val="00D80BBC"/>
    <w:rsid w:val="00D8703F"/>
    <w:rsid w:val="00D903B5"/>
    <w:rsid w:val="00DD0D75"/>
    <w:rsid w:val="00DD43B5"/>
    <w:rsid w:val="00DE0939"/>
    <w:rsid w:val="00DE564A"/>
    <w:rsid w:val="00DE62A3"/>
    <w:rsid w:val="00DE7014"/>
    <w:rsid w:val="00DF2B45"/>
    <w:rsid w:val="00E13BEF"/>
    <w:rsid w:val="00E211CD"/>
    <w:rsid w:val="00E248C0"/>
    <w:rsid w:val="00E35B7E"/>
    <w:rsid w:val="00E535D9"/>
    <w:rsid w:val="00E5701C"/>
    <w:rsid w:val="00E74438"/>
    <w:rsid w:val="00E76095"/>
    <w:rsid w:val="00E92DB4"/>
    <w:rsid w:val="00EB68E8"/>
    <w:rsid w:val="00EC2962"/>
    <w:rsid w:val="00EC4119"/>
    <w:rsid w:val="00ED3CF0"/>
    <w:rsid w:val="00EF00C4"/>
    <w:rsid w:val="00EF23AC"/>
    <w:rsid w:val="00EF37BB"/>
    <w:rsid w:val="00F02729"/>
    <w:rsid w:val="00F36237"/>
    <w:rsid w:val="00F45A8D"/>
    <w:rsid w:val="00F526F5"/>
    <w:rsid w:val="00F81FB4"/>
    <w:rsid w:val="00F8629C"/>
    <w:rsid w:val="00F94BBA"/>
    <w:rsid w:val="00FB4FD3"/>
    <w:rsid w:val="00FB6F49"/>
    <w:rsid w:val="00FC3E2A"/>
    <w:rsid w:val="00FD251E"/>
    <w:rsid w:val="00FE0A64"/>
    <w:rsid w:val="00FF17C2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8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HOKUREN\&#37325;&#35201;&#12501;&#12449;&#12452;&#12523;\&#9679;&#20385;&#26684;&#25913;&#23450;\&#24179;&#25104;27&#24180;&#24230;\H27.4-6\H27.4-6%20&#12481;&#12515;&#12540;&#12488;&#21407;&#26412;%20-%20&#32232;&#3859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KUREN\&#37325;&#35201;&#12501;&#12449;&#12452;&#12523;\&#9679;&#20385;&#26684;&#25913;&#23450;\&#24179;&#25104;27&#24180;&#24230;\H27.4-6\H27.4-6%20&#12481;&#12515;&#12540;&#12488;&#21407;&#26412;%20-%20&#32232;&#3859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KUREN\&#37325;&#35201;&#12501;&#12449;&#12452;&#12523;\&#9679;&#20385;&#26684;&#25913;&#23450;\&#24179;&#25104;27&#24180;&#24230;\H27.4-6\H27.4-6%20&#12481;&#12515;&#12540;&#12488;&#21407;&#26412;%20-%20&#32232;&#3859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253742930021078E-2"/>
          <c:y val="0.13006684105390162"/>
          <c:w val="0.88137604015175175"/>
          <c:h val="0.64048919275550664"/>
        </c:manualLayout>
      </c:layout>
      <c:lineChart>
        <c:grouping val="standard"/>
        <c:varyColors val="0"/>
        <c:ser>
          <c:idx val="0"/>
          <c:order val="0"/>
          <c:tx>
            <c:strRef>
              <c:f>チャート!$B$35</c:f>
              <c:strCache>
                <c:ptCount val="1"/>
                <c:pt idx="0">
                  <c:v>３月限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チャート!$A$246:$A$270</c:f>
              <c:numCache>
                <c:formatCode>m"月"d"日"</c:formatCode>
                <c:ptCount val="25"/>
                <c:pt idx="0">
                  <c:v>41901</c:v>
                </c:pt>
                <c:pt idx="1">
                  <c:v>41908</c:v>
                </c:pt>
                <c:pt idx="2">
                  <c:v>41915</c:v>
                </c:pt>
                <c:pt idx="3">
                  <c:v>41922</c:v>
                </c:pt>
                <c:pt idx="4">
                  <c:v>41929</c:v>
                </c:pt>
                <c:pt idx="5">
                  <c:v>41936</c:v>
                </c:pt>
                <c:pt idx="6">
                  <c:v>41943</c:v>
                </c:pt>
                <c:pt idx="7">
                  <c:v>41950</c:v>
                </c:pt>
                <c:pt idx="8">
                  <c:v>41957</c:v>
                </c:pt>
                <c:pt idx="9">
                  <c:v>41964</c:v>
                </c:pt>
                <c:pt idx="10">
                  <c:v>41971</c:v>
                </c:pt>
                <c:pt idx="11">
                  <c:v>41978</c:v>
                </c:pt>
                <c:pt idx="12">
                  <c:v>41985</c:v>
                </c:pt>
                <c:pt idx="13">
                  <c:v>41992</c:v>
                </c:pt>
                <c:pt idx="14">
                  <c:v>41999</c:v>
                </c:pt>
                <c:pt idx="15">
                  <c:v>42006</c:v>
                </c:pt>
                <c:pt idx="16">
                  <c:v>42013</c:v>
                </c:pt>
                <c:pt idx="17">
                  <c:v>42020</c:v>
                </c:pt>
                <c:pt idx="18">
                  <c:v>42027</c:v>
                </c:pt>
                <c:pt idx="19">
                  <c:v>42034</c:v>
                </c:pt>
                <c:pt idx="20">
                  <c:v>42041</c:v>
                </c:pt>
                <c:pt idx="21">
                  <c:v>42048</c:v>
                </c:pt>
                <c:pt idx="22">
                  <c:v>42055</c:v>
                </c:pt>
                <c:pt idx="23">
                  <c:v>42062</c:v>
                </c:pt>
                <c:pt idx="24">
                  <c:v>42069</c:v>
                </c:pt>
              </c:numCache>
            </c:numRef>
          </c:cat>
          <c:val>
            <c:numRef>
              <c:f>チャート!$B$246:$B$270</c:f>
              <c:numCache>
                <c:formatCode>General</c:formatCode>
                <c:ptCount val="25"/>
                <c:pt idx="0">
                  <c:v>344.25</c:v>
                </c:pt>
                <c:pt idx="1">
                  <c:v>335.75</c:v>
                </c:pt>
                <c:pt idx="2">
                  <c:v>336.25</c:v>
                </c:pt>
                <c:pt idx="3">
                  <c:v>358.5</c:v>
                </c:pt>
                <c:pt idx="4">
                  <c:v>361.25</c:v>
                </c:pt>
                <c:pt idx="5">
                  <c:v>366.75</c:v>
                </c:pt>
                <c:pt idx="6">
                  <c:v>389.25</c:v>
                </c:pt>
                <c:pt idx="7">
                  <c:v>380.5</c:v>
                </c:pt>
                <c:pt idx="8">
                  <c:v>394.25</c:v>
                </c:pt>
                <c:pt idx="9">
                  <c:v>385.25</c:v>
                </c:pt>
                <c:pt idx="10">
                  <c:v>388.75</c:v>
                </c:pt>
                <c:pt idx="11">
                  <c:v>395</c:v>
                </c:pt>
                <c:pt idx="12">
                  <c:v>407.5</c:v>
                </c:pt>
                <c:pt idx="13">
                  <c:v>410.5</c:v>
                </c:pt>
                <c:pt idx="14">
                  <c:v>414.75</c:v>
                </c:pt>
                <c:pt idx="15">
                  <c:v>395.75</c:v>
                </c:pt>
                <c:pt idx="16">
                  <c:v>400.25</c:v>
                </c:pt>
                <c:pt idx="17">
                  <c:v>387</c:v>
                </c:pt>
                <c:pt idx="18">
                  <c:v>386.75</c:v>
                </c:pt>
                <c:pt idx="19">
                  <c:v>370</c:v>
                </c:pt>
                <c:pt idx="20">
                  <c:v>385.75</c:v>
                </c:pt>
                <c:pt idx="21">
                  <c:v>387.25</c:v>
                </c:pt>
                <c:pt idx="22">
                  <c:v>385.25</c:v>
                </c:pt>
                <c:pt idx="23">
                  <c:v>384.5</c:v>
                </c:pt>
                <c:pt idx="24">
                  <c:v>379.25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チャート!$C$35</c:f>
              <c:strCache>
                <c:ptCount val="1"/>
                <c:pt idx="0">
                  <c:v>５月限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チャート!$A$246:$A$270</c:f>
              <c:numCache>
                <c:formatCode>m"月"d"日"</c:formatCode>
                <c:ptCount val="25"/>
                <c:pt idx="0">
                  <c:v>41901</c:v>
                </c:pt>
                <c:pt idx="1">
                  <c:v>41908</c:v>
                </c:pt>
                <c:pt idx="2">
                  <c:v>41915</c:v>
                </c:pt>
                <c:pt idx="3">
                  <c:v>41922</c:v>
                </c:pt>
                <c:pt idx="4">
                  <c:v>41929</c:v>
                </c:pt>
                <c:pt idx="5">
                  <c:v>41936</c:v>
                </c:pt>
                <c:pt idx="6">
                  <c:v>41943</c:v>
                </c:pt>
                <c:pt idx="7">
                  <c:v>41950</c:v>
                </c:pt>
                <c:pt idx="8">
                  <c:v>41957</c:v>
                </c:pt>
                <c:pt idx="9">
                  <c:v>41964</c:v>
                </c:pt>
                <c:pt idx="10">
                  <c:v>41971</c:v>
                </c:pt>
                <c:pt idx="11">
                  <c:v>41978</c:v>
                </c:pt>
                <c:pt idx="12">
                  <c:v>41985</c:v>
                </c:pt>
                <c:pt idx="13">
                  <c:v>41992</c:v>
                </c:pt>
                <c:pt idx="14">
                  <c:v>41999</c:v>
                </c:pt>
                <c:pt idx="15">
                  <c:v>42006</c:v>
                </c:pt>
                <c:pt idx="16">
                  <c:v>42013</c:v>
                </c:pt>
                <c:pt idx="17">
                  <c:v>42020</c:v>
                </c:pt>
                <c:pt idx="18">
                  <c:v>42027</c:v>
                </c:pt>
                <c:pt idx="19">
                  <c:v>42034</c:v>
                </c:pt>
                <c:pt idx="20">
                  <c:v>42041</c:v>
                </c:pt>
                <c:pt idx="21">
                  <c:v>42048</c:v>
                </c:pt>
                <c:pt idx="22">
                  <c:v>42055</c:v>
                </c:pt>
                <c:pt idx="23">
                  <c:v>42062</c:v>
                </c:pt>
                <c:pt idx="24">
                  <c:v>42069</c:v>
                </c:pt>
              </c:numCache>
            </c:numRef>
          </c:cat>
          <c:val>
            <c:numRef>
              <c:f>チャート!$C$246:$C$270</c:f>
              <c:numCache>
                <c:formatCode>General</c:formatCode>
                <c:ptCount val="25"/>
                <c:pt idx="0">
                  <c:v>353</c:v>
                </c:pt>
                <c:pt idx="1">
                  <c:v>344.25</c:v>
                </c:pt>
                <c:pt idx="2">
                  <c:v>345</c:v>
                </c:pt>
                <c:pt idx="3">
                  <c:v>367.5</c:v>
                </c:pt>
                <c:pt idx="4">
                  <c:v>370</c:v>
                </c:pt>
                <c:pt idx="5">
                  <c:v>375.25</c:v>
                </c:pt>
                <c:pt idx="6">
                  <c:v>398</c:v>
                </c:pt>
                <c:pt idx="7">
                  <c:v>389.5</c:v>
                </c:pt>
                <c:pt idx="8">
                  <c:v>402.75</c:v>
                </c:pt>
                <c:pt idx="9">
                  <c:v>394.25</c:v>
                </c:pt>
                <c:pt idx="10">
                  <c:v>397</c:v>
                </c:pt>
                <c:pt idx="11">
                  <c:v>403.5</c:v>
                </c:pt>
                <c:pt idx="12">
                  <c:v>415.75</c:v>
                </c:pt>
                <c:pt idx="13">
                  <c:v>419</c:v>
                </c:pt>
                <c:pt idx="14">
                  <c:v>423</c:v>
                </c:pt>
                <c:pt idx="15">
                  <c:v>404.5</c:v>
                </c:pt>
                <c:pt idx="16">
                  <c:v>408.25</c:v>
                </c:pt>
                <c:pt idx="17">
                  <c:v>394.25</c:v>
                </c:pt>
                <c:pt idx="18">
                  <c:v>395.25</c:v>
                </c:pt>
                <c:pt idx="19">
                  <c:v>378.5</c:v>
                </c:pt>
                <c:pt idx="20">
                  <c:v>394</c:v>
                </c:pt>
                <c:pt idx="21">
                  <c:v>395.25</c:v>
                </c:pt>
                <c:pt idx="22">
                  <c:v>393</c:v>
                </c:pt>
                <c:pt idx="23">
                  <c:v>393.25</c:v>
                </c:pt>
                <c:pt idx="24">
                  <c:v>386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03712"/>
        <c:axId val="177608192"/>
      </c:lineChart>
      <c:dateAx>
        <c:axId val="172403712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ja-JP"/>
          </a:p>
        </c:txPr>
        <c:crossAx val="177608192"/>
        <c:crosses val="autoZero"/>
        <c:auto val="0"/>
        <c:lblOffset val="100"/>
        <c:baseTimeUnit val="days"/>
        <c:majorUnit val="14"/>
        <c:majorTimeUnit val="days"/>
        <c:minorUnit val="1"/>
      </c:dateAx>
      <c:valAx>
        <c:axId val="177608192"/>
        <c:scaling>
          <c:orientation val="minMax"/>
          <c:max val="430"/>
          <c:min val="330"/>
        </c:scaling>
        <c:delete val="0"/>
        <c:axPos val="l"/>
        <c:majorGridlines>
          <c:spPr>
            <a:ln w="6350">
              <a:solidFill>
                <a:schemeClr val="tx1"/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172403712"/>
        <c:crosses val="autoZero"/>
        <c:crossBetween val="between"/>
        <c:minorUnit val="20"/>
      </c:valAx>
      <c:spPr>
        <a:ln w="6350"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0432335958005251"/>
          <c:y val="0.20370071851254815"/>
          <c:w val="0.16556385553019121"/>
          <c:h val="0.1202863027948278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Ｐ明朝" pitchFamily="18" charset="-128"/>
          <a:ea typeface="ＭＳ Ｐ明朝" pitchFamily="18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大豆粕シカゴ定期の推移</a:t>
            </a:r>
          </a:p>
        </c:rich>
      </c:tx>
      <c:layout>
        <c:manualLayout>
          <c:xMode val="edge"/>
          <c:yMode val="edge"/>
          <c:x val="0.30259234209649144"/>
          <c:y val="2.363931826567541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639164669633684E-2"/>
          <c:y val="0.12176919820506307"/>
          <c:w val="0.87781182243523903"/>
          <c:h val="0.62972212344424694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チャート!$AP$246:$AP$270</c:f>
              <c:numCache>
                <c:formatCode>m"月"d"日"</c:formatCode>
                <c:ptCount val="25"/>
                <c:pt idx="0">
                  <c:v>41901</c:v>
                </c:pt>
                <c:pt idx="1">
                  <c:v>41908</c:v>
                </c:pt>
                <c:pt idx="2">
                  <c:v>41915</c:v>
                </c:pt>
                <c:pt idx="3">
                  <c:v>41922</c:v>
                </c:pt>
                <c:pt idx="4">
                  <c:v>41929</c:v>
                </c:pt>
                <c:pt idx="5">
                  <c:v>41936</c:v>
                </c:pt>
                <c:pt idx="6">
                  <c:v>41943</c:v>
                </c:pt>
                <c:pt idx="7">
                  <c:v>41950</c:v>
                </c:pt>
                <c:pt idx="8">
                  <c:v>41957</c:v>
                </c:pt>
                <c:pt idx="9">
                  <c:v>41964</c:v>
                </c:pt>
                <c:pt idx="10">
                  <c:v>41971</c:v>
                </c:pt>
                <c:pt idx="11">
                  <c:v>41978</c:v>
                </c:pt>
                <c:pt idx="12">
                  <c:v>41985</c:v>
                </c:pt>
                <c:pt idx="13">
                  <c:v>41992</c:v>
                </c:pt>
                <c:pt idx="14">
                  <c:v>41999</c:v>
                </c:pt>
                <c:pt idx="15">
                  <c:v>42006</c:v>
                </c:pt>
                <c:pt idx="16">
                  <c:v>42013</c:v>
                </c:pt>
                <c:pt idx="17">
                  <c:v>42020</c:v>
                </c:pt>
                <c:pt idx="18">
                  <c:v>42027</c:v>
                </c:pt>
                <c:pt idx="19">
                  <c:v>42034</c:v>
                </c:pt>
                <c:pt idx="20">
                  <c:v>42041</c:v>
                </c:pt>
                <c:pt idx="21">
                  <c:v>42048</c:v>
                </c:pt>
                <c:pt idx="22">
                  <c:v>42055</c:v>
                </c:pt>
                <c:pt idx="23">
                  <c:v>42062</c:v>
                </c:pt>
                <c:pt idx="24">
                  <c:v>42069</c:v>
                </c:pt>
              </c:numCache>
            </c:numRef>
          </c:cat>
          <c:val>
            <c:numRef>
              <c:f>チャート!$AQ$246:$AQ$270</c:f>
              <c:numCache>
                <c:formatCode>#,##0.00_);[Red]\(#,##0.00\)</c:formatCode>
                <c:ptCount val="25"/>
                <c:pt idx="0">
                  <c:v>357.25543000000005</c:v>
                </c:pt>
                <c:pt idx="1">
                  <c:v>338.62655999999998</c:v>
                </c:pt>
                <c:pt idx="2">
                  <c:v>339.50839999999999</c:v>
                </c:pt>
                <c:pt idx="3">
                  <c:v>378.52981999999997</c:v>
                </c:pt>
                <c:pt idx="4">
                  <c:v>364.31015000000002</c:v>
                </c:pt>
                <c:pt idx="5">
                  <c:v>386.02546000000001</c:v>
                </c:pt>
                <c:pt idx="6">
                  <c:v>428.79470000000003</c:v>
                </c:pt>
                <c:pt idx="7">
                  <c:v>430.33792</c:v>
                </c:pt>
                <c:pt idx="8">
                  <c:v>418.76377000000002</c:v>
                </c:pt>
                <c:pt idx="9">
                  <c:v>417.11032</c:v>
                </c:pt>
                <c:pt idx="10">
                  <c:v>431.10953000000006</c:v>
                </c:pt>
                <c:pt idx="11">
                  <c:v>434.52665999999999</c:v>
                </c:pt>
                <c:pt idx="12">
                  <c:v>417.66147000000001</c:v>
                </c:pt>
                <c:pt idx="13">
                  <c:v>400.68605000000002</c:v>
                </c:pt>
                <c:pt idx="14">
                  <c:v>418.54331000000002</c:v>
                </c:pt>
                <c:pt idx="15">
                  <c:v>392.96995000000004</c:v>
                </c:pt>
                <c:pt idx="16">
                  <c:v>401.01674000000003</c:v>
                </c:pt>
                <c:pt idx="17">
                  <c:v>359.57026000000002</c:v>
                </c:pt>
                <c:pt idx="18">
                  <c:v>365.41245000000004</c:v>
                </c:pt>
                <c:pt idx="19">
                  <c:v>363.64877000000001</c:v>
                </c:pt>
                <c:pt idx="20">
                  <c:v>363.09762000000001</c:v>
                </c:pt>
                <c:pt idx="21">
                  <c:v>366.29429000000005</c:v>
                </c:pt>
                <c:pt idx="22">
                  <c:v>383.04925000000003</c:v>
                </c:pt>
                <c:pt idx="23">
                  <c:v>389.88351</c:v>
                </c:pt>
                <c:pt idx="24">
                  <c:v>371.4751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804224"/>
        <c:axId val="180953856"/>
      </c:lineChart>
      <c:dateAx>
        <c:axId val="180804224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80953856"/>
        <c:crosses val="autoZero"/>
        <c:auto val="0"/>
        <c:lblOffset val="100"/>
        <c:baseTimeUnit val="days"/>
        <c:majorUnit val="14"/>
        <c:majorTimeUnit val="days"/>
        <c:minorUnit val="1"/>
      </c:dateAx>
      <c:valAx>
        <c:axId val="180953856"/>
        <c:scaling>
          <c:orientation val="minMax"/>
          <c:min val="330"/>
        </c:scaling>
        <c:delete val="0"/>
        <c:axPos val="l"/>
        <c:majorGridlines>
          <c:spPr>
            <a:ln w="6350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25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ドル/トン</a:t>
                </a:r>
              </a:p>
            </c:rich>
          </c:tx>
          <c:layout>
            <c:manualLayout>
              <c:xMode val="edge"/>
              <c:yMode val="edge"/>
              <c:x val="4.2416437590271631E-2"/>
              <c:y val="8.6655112651646445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80804224"/>
        <c:crosses val="autoZero"/>
        <c:crossBetween val="between"/>
        <c:majorUnit val="20"/>
        <c:minorUnit val="10"/>
      </c:valAx>
      <c:spPr>
        <a:solidFill>
          <a:srgbClr val="FFFFFF"/>
        </a:solidFill>
        <a:ln w="635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ドル円為替相場（東京市場対顧客電信相場）</a:t>
            </a:r>
          </a:p>
        </c:rich>
      </c:tx>
      <c:layout>
        <c:manualLayout>
          <c:xMode val="edge"/>
          <c:yMode val="edge"/>
          <c:x val="0.18185218952894047"/>
          <c:y val="3.869420475795158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794580123945486E-2"/>
          <c:y val="0.10989073650138781"/>
          <c:w val="0.87757482220348593"/>
          <c:h val="0.65304118135392819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チャート!$AC$246:$AC$270</c:f>
              <c:numCache>
                <c:formatCode>m"月"d"日"</c:formatCode>
                <c:ptCount val="25"/>
                <c:pt idx="0">
                  <c:v>41901</c:v>
                </c:pt>
                <c:pt idx="1">
                  <c:v>41908</c:v>
                </c:pt>
                <c:pt idx="2">
                  <c:v>41915</c:v>
                </c:pt>
                <c:pt idx="3">
                  <c:v>41922</c:v>
                </c:pt>
                <c:pt idx="4">
                  <c:v>41929</c:v>
                </c:pt>
                <c:pt idx="5">
                  <c:v>41936</c:v>
                </c:pt>
                <c:pt idx="6">
                  <c:v>41943</c:v>
                </c:pt>
                <c:pt idx="7">
                  <c:v>41950</c:v>
                </c:pt>
                <c:pt idx="8">
                  <c:v>41957</c:v>
                </c:pt>
                <c:pt idx="9">
                  <c:v>41964</c:v>
                </c:pt>
                <c:pt idx="10">
                  <c:v>41971</c:v>
                </c:pt>
                <c:pt idx="11">
                  <c:v>41978</c:v>
                </c:pt>
                <c:pt idx="12">
                  <c:v>41985</c:v>
                </c:pt>
                <c:pt idx="13">
                  <c:v>41992</c:v>
                </c:pt>
                <c:pt idx="14">
                  <c:v>41999</c:v>
                </c:pt>
                <c:pt idx="15">
                  <c:v>42009</c:v>
                </c:pt>
                <c:pt idx="16">
                  <c:v>42013</c:v>
                </c:pt>
                <c:pt idx="17">
                  <c:v>42020</c:v>
                </c:pt>
                <c:pt idx="18">
                  <c:v>42027</c:v>
                </c:pt>
                <c:pt idx="19">
                  <c:v>42034</c:v>
                </c:pt>
                <c:pt idx="20">
                  <c:v>42041</c:v>
                </c:pt>
                <c:pt idx="21">
                  <c:v>42048</c:v>
                </c:pt>
                <c:pt idx="22">
                  <c:v>42055</c:v>
                </c:pt>
                <c:pt idx="23">
                  <c:v>42062</c:v>
                </c:pt>
                <c:pt idx="24">
                  <c:v>42069</c:v>
                </c:pt>
              </c:numCache>
            </c:numRef>
          </c:cat>
          <c:val>
            <c:numRef>
              <c:f>チャート!$AD$246:$AD$270</c:f>
              <c:numCache>
                <c:formatCode>General</c:formatCode>
                <c:ptCount val="25"/>
                <c:pt idx="0">
                  <c:v>108.86</c:v>
                </c:pt>
                <c:pt idx="1">
                  <c:v>108.53</c:v>
                </c:pt>
                <c:pt idx="2">
                  <c:v>108.77</c:v>
                </c:pt>
                <c:pt idx="3">
                  <c:v>107.8</c:v>
                </c:pt>
                <c:pt idx="4">
                  <c:v>106.39</c:v>
                </c:pt>
                <c:pt idx="5">
                  <c:v>108.03</c:v>
                </c:pt>
                <c:pt idx="6">
                  <c:v>109.34</c:v>
                </c:pt>
                <c:pt idx="7">
                  <c:v>115.06</c:v>
                </c:pt>
                <c:pt idx="8">
                  <c:v>116.15</c:v>
                </c:pt>
                <c:pt idx="9">
                  <c:v>118.09</c:v>
                </c:pt>
                <c:pt idx="10">
                  <c:v>118.23</c:v>
                </c:pt>
                <c:pt idx="11">
                  <c:v>119.83</c:v>
                </c:pt>
                <c:pt idx="12">
                  <c:v>118.89</c:v>
                </c:pt>
                <c:pt idx="13">
                  <c:v>119</c:v>
                </c:pt>
                <c:pt idx="14">
                  <c:v>120.32</c:v>
                </c:pt>
                <c:pt idx="15">
                  <c:v>120.34</c:v>
                </c:pt>
                <c:pt idx="16">
                  <c:v>119.87</c:v>
                </c:pt>
                <c:pt idx="17">
                  <c:v>116.44</c:v>
                </c:pt>
                <c:pt idx="18">
                  <c:v>118.53</c:v>
                </c:pt>
                <c:pt idx="19">
                  <c:v>118.25</c:v>
                </c:pt>
                <c:pt idx="20">
                  <c:v>117.5</c:v>
                </c:pt>
                <c:pt idx="21">
                  <c:v>119.03</c:v>
                </c:pt>
                <c:pt idx="22">
                  <c:v>119.1</c:v>
                </c:pt>
                <c:pt idx="23">
                  <c:v>119.27</c:v>
                </c:pt>
                <c:pt idx="24">
                  <c:v>120.04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21600"/>
        <c:axId val="193320448"/>
      </c:lineChart>
      <c:dateAx>
        <c:axId val="193321600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93320448"/>
        <c:crosses val="autoZero"/>
        <c:auto val="0"/>
        <c:lblOffset val="100"/>
        <c:baseTimeUnit val="days"/>
        <c:majorUnit val="14"/>
        <c:majorTimeUnit val="days"/>
        <c:minorUnit val="1"/>
      </c:dateAx>
      <c:valAx>
        <c:axId val="193320448"/>
        <c:scaling>
          <c:orientation val="minMax"/>
          <c:max val="122"/>
          <c:min val="106"/>
        </c:scaling>
        <c:delete val="0"/>
        <c:axPos val="l"/>
        <c:majorGridlines>
          <c:spPr>
            <a:ln w="6350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50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円/ドル</a:t>
                </a:r>
              </a:p>
            </c:rich>
          </c:tx>
          <c:layout>
            <c:manualLayout>
              <c:xMode val="edge"/>
              <c:yMode val="edge"/>
              <c:x val="4.6451660997996552E-2"/>
              <c:y val="8.6655112651646445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ln w="6350">
            <a:solidFill>
              <a:srgbClr val="000000"/>
            </a:solidFill>
            <a:prstDash val="sysDash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93321600"/>
        <c:crosses val="autoZero"/>
        <c:crossBetween val="between"/>
        <c:majorUnit val="4"/>
      </c:valAx>
      <c:spPr>
        <a:solidFill>
          <a:srgbClr val="FFFFFF"/>
        </a:solidFill>
        <a:ln w="635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0.25175</cdr:x>
      <cdr:y>3.40866E-7</cdr:y>
    </cdr:from>
    <cdr:to>
      <cdr:x>0.7972</cdr:x>
      <cdr:y>0.09416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362018" y="1"/>
          <a:ext cx="2950993" cy="27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ja-JP" altLang="en-US" sz="1600">
              <a:latin typeface="ＭＳ Ｐ明朝" pitchFamily="18" charset="-128"/>
              <a:ea typeface="ＭＳ Ｐ明朝" pitchFamily="18" charset="-128"/>
            </a:rPr>
            <a:t>とうもろこしシカゴ定期の推移</a:t>
          </a:r>
        </a:p>
      </cdr:txBody>
    </cdr:sp>
  </cdr:relSizeAnchor>
  <cdr:relSizeAnchor xmlns:cdr="http://schemas.openxmlformats.org/drawingml/2006/chartDrawing">
    <cdr:from>
      <cdr:x>0.02184</cdr:x>
      <cdr:y>0.01973</cdr:y>
    </cdr:from>
    <cdr:to>
      <cdr:x>0.25079</cdr:x>
      <cdr:y>0.09127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89866" y="59381"/>
          <a:ext cx="941938" cy="2153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900">
              <a:latin typeface="ＭＳ Ｐ明朝" pitchFamily="18" charset="-128"/>
              <a:ea typeface="ＭＳ Ｐ明朝" pitchFamily="18" charset="-128"/>
            </a:rPr>
            <a:t>セント</a:t>
          </a:r>
          <a:r>
            <a:rPr lang="en-US" altLang="ja-JP" sz="900">
              <a:latin typeface="ＭＳ Ｐ明朝" pitchFamily="18" charset="-128"/>
              <a:ea typeface="ＭＳ Ｐ明朝" pitchFamily="18" charset="-128"/>
            </a:rPr>
            <a:t>/</a:t>
          </a:r>
          <a:r>
            <a:rPr lang="ja-JP" altLang="en-US" sz="900">
              <a:latin typeface="ＭＳ Ｐ明朝" pitchFamily="18" charset="-128"/>
              <a:ea typeface="ＭＳ Ｐ明朝" pitchFamily="18" charset="-128"/>
            </a:rPr>
            <a:t>ブッシェ</a:t>
          </a:r>
          <a:r>
            <a:rPr lang="ja-JP" altLang="en-US" sz="1000">
              <a:latin typeface="ＭＳ Ｐ明朝" pitchFamily="18" charset="-128"/>
              <a:ea typeface="ＭＳ Ｐ明朝" pitchFamily="18" charset="-128"/>
            </a:rPr>
            <a:t>ル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l4162m</dc:creator>
  <cp:lastModifiedBy>l4162m</cp:lastModifiedBy>
  <cp:revision>3</cp:revision>
  <cp:lastPrinted>2015-03-12T08:29:00Z</cp:lastPrinted>
  <dcterms:created xsi:type="dcterms:W3CDTF">2015-03-12T08:00:00Z</dcterms:created>
  <dcterms:modified xsi:type="dcterms:W3CDTF">2015-03-12T08:37:00Z</dcterms:modified>
</cp:coreProperties>
</file>